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shim-20250908.htm"/>
      <w:bookmarkStart w:id="1" w:name="ksshim20250908"/>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4"/>
        </w:rPr>
        <w:t>Date of Report (Date of earliest event reported): September 8, 2025</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48"/>
        </w:rPr>
        <w:t>Shimmick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001-41867</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84-3749368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4"/>
              </w:rPr>
              <w:t>530 Technology Drive</w:t>
            </w:r>
            <w:r>
              <w:rPr>
                <w:rFonts w:ascii="Times New Roman" w:hAnsi="Times New Roman"/>
                <w:color w:val="000000"/>
                <w:sz w:val="20"/>
              </w:rPr>
              <w:t xml:space="preserve"> </w:t>
            </w:r>
          </w:p>
          <w:p>
            <w:pPr>
              <w:pStyle w:val="TableContents"/>
              <w:bidi w:val="0"/>
              <w:jc w:val="center"/>
              <w:rPr>
                <w:rFonts w:ascii="Times New Roman" w:hAnsi="Times New Roman"/>
                <w:b/>
                <w:color w:val="000000"/>
                <w:sz w:val="24"/>
              </w:rPr>
            </w:pPr>
            <w:r>
              <w:rPr>
                <w:rFonts w:ascii="Times New Roman" w:hAnsi="Times New Roman"/>
                <w:b/>
                <w:color w:val="000000"/>
                <w:sz w:val="24"/>
              </w:rPr>
              <w:t>Suite 300</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Irvine, CA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92618</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Registrant’s Telephone Number, Including Area Code: (833) 723-2021</w:t>
      </w:r>
    </w:p>
    <w:p>
      <w:pPr>
        <w:pStyle w:val="TextBody"/>
        <w:bidi w:val="0"/>
        <w:spacing w:before="160" w:after="283"/>
        <w:jc w:val="center"/>
        <w:rPr>
          <w:rFonts w:ascii="Times New Roman" w:hAnsi="Times New Roman"/>
          <w:sz w:val="20"/>
        </w:rPr>
      </w:pPr>
      <w:r>
        <w:rPr>
          <w:rFonts w:ascii="Times New Roman" w:hAnsi="Times New Roman"/>
          <w:b/>
          <w:color w:val="000000"/>
          <w:sz w:val="24"/>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7466" w:type="dxa"/>
        <w:jc w:val="left"/>
        <w:tblInd w:w="0" w:type="dxa"/>
        <w:tblLayout w:type="fixed"/>
        <w:tblCellMar>
          <w:top w:w="28" w:type="dxa"/>
          <w:left w:w="28" w:type="dxa"/>
          <w:bottom w:w="28" w:type="dxa"/>
          <w:right w:w="28" w:type="dxa"/>
        </w:tblCellMar>
      </w:tblPr>
      <w:tblGrid>
        <w:gridCol w:w="3106"/>
        <w:gridCol w:w="109"/>
        <w:gridCol w:w="826"/>
        <w:gridCol w:w="109"/>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SHIM</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On September 8, 2025, Shimmick Corporation (the “Company”) entered into an At The Market Offering Agreement (the “Sales Agreement”) with Roth Capital Partners, LLC (the “Sales Agent”). Pursuant to the Sales Agreement, the Sales Agent will act as the Company’s agent with respect to an offering and sale, at any time and from time to time, of the Company’s common stock, par value $0.01 per share (the “Shares”). The Company has authorized the sale, at its discretion, of Shares in an aggregate offering amount up to $7,800,000 under the Sales Agreement. Sales of the Shares, if any, will be made in “at the market offerings” as defined in Rule 415 under the Securities Act of 1933, as amended (the “Securities Act”).</w:t>
      </w:r>
    </w:p>
    <w:p>
      <w:pPr>
        <w:pStyle w:val="TextBody"/>
        <w:bidi w:val="0"/>
        <w:jc w:val="both"/>
        <w:rPr>
          <w:rFonts w:ascii="Times New Roman" w:hAnsi="Times New Roman"/>
          <w:color w:val="000000"/>
          <w:sz w:val="20"/>
        </w:rPr>
      </w:pPr>
      <w:r>
        <w:rPr>
          <w:rFonts w:ascii="Times New Roman" w:hAnsi="Times New Roman"/>
          <w:color w:val="000000"/>
          <w:sz w:val="20"/>
        </w:rPr>
        <w:t>The Shares will be sold and issued pursuant to the Company’s Registration Statement on Form S-3 which was filed on July 3, 2025 with, and declared effective on July 10, 2025 by, the U.S. Securities and Exchange Commission (the “SEC”) (File No. 333-288513, the “Registration Statement”), and a related prospectus, as supplemented by a prospectus supplement related to the Company’s “at the market offering.” Concurrently herewith, we are filing a prospectus supplement (the “Prospectus Supplement”), dated September 8, 2025, with the SEC in connection with the offer and sale of the Shares. We are not obligated to make any sales of Shares under the Sales Agreement, and no assurance can be given that we will sell any Shares under the Sales Agreement, or, if we do, as to the price or amount of Shares that we will sell, or the dates on which any such sales will take place.</w:t>
      </w:r>
    </w:p>
    <w:p>
      <w:pPr>
        <w:pStyle w:val="TextBody"/>
        <w:bidi w:val="0"/>
        <w:jc w:val="both"/>
        <w:rPr>
          <w:rFonts w:ascii="Times New Roman" w:hAnsi="Times New Roman"/>
          <w:color w:val="000000"/>
          <w:sz w:val="20"/>
        </w:rPr>
      </w:pPr>
      <w:r>
        <w:rPr>
          <w:rFonts w:ascii="Times New Roman" w:hAnsi="Times New Roman"/>
          <w:color w:val="000000"/>
          <w:sz w:val="20"/>
        </w:rPr>
        <w:t>The Company or the Sales Agent, under certain circumstances and upon notice to the other, may suspend the offering of the Shares under the Sales Agreement. The offering of the Shares pursuant to the Sales Agreement will terminate upon the sale of Shares in an aggregate offering amount equal to $7,800,000, or sooner if either the Company or the Sales Agent terminates the Sales Agreement.</w:t>
      </w:r>
    </w:p>
    <w:p>
      <w:pPr>
        <w:pStyle w:val="TextBody"/>
        <w:bidi w:val="0"/>
        <w:jc w:val="both"/>
        <w:rPr>
          <w:rFonts w:ascii="Times New Roman" w:hAnsi="Times New Roman"/>
          <w:color w:val="000000"/>
          <w:sz w:val="20"/>
        </w:rPr>
      </w:pPr>
      <w:r>
        <w:rPr>
          <w:rFonts w:ascii="Times New Roman" w:hAnsi="Times New Roman"/>
          <w:color w:val="000000"/>
          <w:sz w:val="20"/>
        </w:rPr>
        <w:t>The Company will pay the Sales Agent a cash commission in an amount up to 3% of the gross proceeds from each sale of Shares sold pursuant to the Sales Agreement and will reimburse the Sales Agent for the documented fees and costs of its legal counsel reasonably incurred in connection with entering into the transactions contemplated by the Sales Agreement in an amount not to exceed $50,000 in the aggregate.</w:t>
      </w:r>
    </w:p>
    <w:p>
      <w:pPr>
        <w:pStyle w:val="TextBody"/>
        <w:bidi w:val="0"/>
        <w:jc w:val="both"/>
        <w:rPr>
          <w:rFonts w:ascii="Times New Roman" w:hAnsi="Times New Roman"/>
          <w:color w:val="000000"/>
          <w:sz w:val="20"/>
        </w:rPr>
      </w:pPr>
      <w:r>
        <w:rPr>
          <w:rFonts w:ascii="Times New Roman" w:hAnsi="Times New Roman"/>
          <w:color w:val="000000"/>
          <w:sz w:val="20"/>
        </w:rPr>
        <w:t>The Company made certain customary representations, warranties and covenants in the Sales Agreement concerning the Company and its subsidiaries and the Registration Statement, prospectus, Prospectus Supplement and other documents and filings relating to the offering of the Shares. In addition, the Company has agreed to indemnify the Sales Agent against certain liabilities, including liabilities under the Securities Act.</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Sales Agreement is qualified in its entirety by reference to the Sales Agreement, a copy of which is filed as Exhibit 10.1 to this Current Report on Form 8-K and is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The Shares to be sold under the Sales Agreement, if any, will be issued and sold pursuant to the Company’s Registration Statement, and its Prospectus Supplement related thereto.</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shall not constitute an offer to sell or the solicitation of an offer to buy any Shares nor shall there be any sale of shares in any state or jurisdiction in which such offer, solicitation or sale would be unlawful prior to registration or qualification under the securities laws of any such state or other jurisdiction.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481"/>
        <w:gridCol w:w="109"/>
        <w:gridCol w:w="9615"/>
      </w:tblGrid>
      <w:tr>
        <w:trPr/>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5"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him-ex5_1.htm">
              <w:r>
                <w:rPr>
                  <w:rStyle w:val="InternetLink"/>
                  <w:rFonts w:ascii="Times New Roman" w:hAnsi="Times New Roman"/>
                  <w:color w:val="0000FF"/>
                  <w:sz w:val="20"/>
                  <w:u w:val="single"/>
                </w:rPr>
                <w:t>Opinion of King &amp; Spalding LLP</w:t>
              </w:r>
            </w:hyperlink>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shim-ex10_1.htm">
              <w:r>
                <w:rPr>
                  <w:rStyle w:val="InternetLink"/>
                  <w:rFonts w:ascii="Times New Roman" w:hAnsi="Times New Roman"/>
                  <w:color w:val="0000FF"/>
                  <w:sz w:val="20"/>
                  <w:u w:val="single"/>
                </w:rPr>
                <w:t>At The Market Offering Agreement dated as of September 8, 2025, between Shimmick Corporation and Roth Capital Partners, LLC</w:t>
              </w:r>
            </w:hyperlink>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him-ex5_1.htm">
              <w:r>
                <w:rPr>
                  <w:rStyle w:val="InternetLink"/>
                  <w:rFonts w:ascii="Times New Roman" w:hAnsi="Times New Roman"/>
                  <w:color w:val="0000FF"/>
                  <w:sz w:val="20"/>
                  <w:u w:val="single"/>
                </w:rPr>
                <w:t>Consent of King &amp; Spalding LLP (included in Exhibit 5.1)</w:t>
              </w:r>
            </w:hyperlink>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323" w:type="dxa"/>
        <w:jc w:val="left"/>
        <w:tblInd w:w="0" w:type="dxa"/>
        <w:tblLayout w:type="fixed"/>
        <w:tblCellMar>
          <w:top w:w="28" w:type="dxa"/>
          <w:left w:w="28" w:type="dxa"/>
          <w:bottom w:w="28" w:type="dxa"/>
          <w:right w:w="28" w:type="dxa"/>
        </w:tblCellMar>
      </w:tblPr>
      <w:tblGrid>
        <w:gridCol w:w="1636"/>
        <w:gridCol w:w="406"/>
        <w:gridCol w:w="528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Corporation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8,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Todd W. Yoder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W. Yoder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shim-ex5_1.htm"/>
      <w:bookmarkStart w:id="3" w:name="ksshimex5_1"/>
      <w:bookmarkEnd w:id="2"/>
      <w:bookmarkEnd w:id="3"/>
      <w:r>
        <w:rPr>
          <w:rFonts w:ascii="Times New Roman" w:hAnsi="Times New Roman"/>
          <w:b/>
          <w:color w:val="000000"/>
          <w:sz w:val="20"/>
        </w:rPr>
        <w:t>Exhibit 5.1</w:t>
      </w:r>
      <w:r>
        <w:br w:type="page"/>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43"/>
        </w:rPr>
        <w:t>K</w:t>
      </w:r>
      <w:r>
        <w:rPr>
          <w:rFonts w:ascii="Times New Roman" w:hAnsi="Times New Roman"/>
          <w:color w:val="000000"/>
          <w:sz w:val="34"/>
        </w:rPr>
        <w:t xml:space="preserve">ING &amp; </w:t>
      </w:r>
      <w:r>
        <w:rPr>
          <w:rFonts w:ascii="Times New Roman" w:hAnsi="Times New Roman"/>
          <w:color w:val="000000"/>
          <w:sz w:val="43"/>
        </w:rPr>
        <w:t>S</w:t>
      </w:r>
      <w:r>
        <w:rPr>
          <w:rFonts w:ascii="Times New Roman" w:hAnsi="Times New Roman"/>
          <w:color w:val="000000"/>
          <w:sz w:val="34"/>
        </w:rPr>
        <w:t>PALDING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King &amp; Spalding LLP</w:t>
      </w:r>
    </w:p>
    <w:p>
      <w:pPr>
        <w:pStyle w:val="TextBody"/>
        <w:bidi w:val="0"/>
        <w:jc w:val="left"/>
        <w:rPr>
          <w:rFonts w:ascii="Times New Roman" w:hAnsi="Times New Roman"/>
          <w:color w:val="000000"/>
          <w:sz w:val="20"/>
        </w:rPr>
      </w:pPr>
      <w:r>
        <w:rPr>
          <w:rFonts w:ascii="Times New Roman" w:hAnsi="Times New Roman"/>
          <w:color w:val="000000"/>
          <w:sz w:val="20"/>
        </w:rPr>
        <w:t>1180 Peachtree Street N.E.</w:t>
        <w:br/>
        <w:t>Atlanta, Georgia 30309-3521</w:t>
        <w:br/>
        <w:t>Phone: 404/ 572-4600</w:t>
        <w:br/>
        <w:t>Fax: 404/ 572-5100</w:t>
      </w:r>
    </w:p>
    <w:p>
      <w:pPr>
        <w:pStyle w:val="TextBody"/>
        <w:bidi w:val="0"/>
        <w:jc w:val="left"/>
        <w:rPr>
          <w:rFonts w:ascii="Times New Roman" w:hAnsi="Times New Roman"/>
          <w:color w:val="000000"/>
          <w:sz w:val="2"/>
        </w:rPr>
      </w:pPr>
      <w:r>
        <w:rPr>
          <w:rFonts w:ascii="Times New Roman" w:hAnsi="Times New Roman"/>
          <w:color w:val="000000"/>
          <w:sz w:val="2"/>
        </w:rPr>
        <w:t>www.kslaw.com</w:t>
      </w:r>
    </w:p>
    <w:p>
      <w:pPr>
        <w:pStyle w:val="TextBody"/>
        <w:bidi w:val="0"/>
        <w:jc w:val="left"/>
        <w:rPr>
          <w:rFonts w:ascii="Times New Roman" w:hAnsi="Times New Roman"/>
          <w:color w:val="000000"/>
          <w:sz w:val="24"/>
        </w:rPr>
      </w:pPr>
      <w:r>
        <w:rPr>
          <w:rFonts w:ascii="Times New Roman" w:hAnsi="Times New Roman"/>
          <w:color w:val="000000"/>
          <w:sz w:val="24"/>
        </w:rPr>
        <w:t>September 8, 2025</w:t>
      </w:r>
    </w:p>
    <w:p>
      <w:pPr>
        <w:pStyle w:val="TextBody"/>
        <w:bidi w:val="0"/>
        <w:jc w:val="left"/>
        <w:rPr/>
      </w:pPr>
      <w:r>
        <w:rPr/>
        <w:t> </w:t>
      </w:r>
    </w:p>
    <w:tbl>
      <w:tblPr>
        <w:tblW w:w="3492" w:type="dxa"/>
        <w:jc w:val="left"/>
        <w:tblInd w:w="0" w:type="dxa"/>
        <w:tblLayout w:type="fixed"/>
        <w:tblCellMar>
          <w:top w:w="28" w:type="dxa"/>
          <w:left w:w="28" w:type="dxa"/>
          <w:bottom w:w="28" w:type="dxa"/>
          <w:right w:w="28" w:type="dxa"/>
        </w:tblCellMar>
      </w:tblPr>
      <w:tblGrid>
        <w:gridCol w:w="33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Shimmick Corporation</w:t>
              <w:br/>
              <w:br/>
              <w:t>530 Technology Drive, Suite 300</w:t>
              <w:br/>
              <w:t>Irvine, CA 92618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have acted as counsel for Shimmick Corporation, a Delaware corporation (the “Company”), in connection with the offering by the Company of shares of its common stock, par value $0.01 per share (the “Shares”), having an aggregate offering amount of up to $7,800,000. The Shares are being sold by the Company pursuant to a pursuant to a Registration Statement on Form S-3 (Registration Statement No. 333-288513) (the “Registration Statement”), filed with the Securities and Exchange Commission (the “Commission”) on July 3, 2025 under the Securities Act of 1933, as amended (the “Act”), the related prospectus declared effective by the Commission on July 10, 2025 (the “Base Prospectus”) and a Prospectus Supplement relating to the Shares, dated September 8, 2025 (the “Prospectus Supplement” and, collectively with the Base Prospectus, the “Prospectus”), filed with the Commission pursuant to Rule 424(b) of the rules and regulations promulgated under the Act. The shares are being issued and sold by the Company through Roth Capital Partners, LLC (the “Sales Agent”) pursuant to the At The Market Offering Agreement, dated September 8, 2025, by and between the Company and the Sales Agent (the “ATM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our capacity as such counsel, we have examined and relied upon the accuracy of original, certified, conformed or photographic copies of such records, agreements, certificates and other documents as we have deemed necessary or appropriate to enable us to render the opinions hereinafter expressed. In making such examination and in rendering the opinions set forth below, we have assumed the genuineness of signatures on original documents and the conformity to such original documents of all copies submitted to us as certified, conformed or photographic copies and, as to certificates of public officials, we have assumed the same to have been properly given and to be accurate. As to matters of fact material to this opinion letter, we have relied, without independent verification, upon certificates and representations of representatives of the Company and public officials.</w:t>
      </w:r>
    </w:p>
    <w:p>
      <w:pPr>
        <w:pStyle w:val="TextBody"/>
        <w:bidi w:val="0"/>
        <w:spacing w:before="0" w:after="240"/>
        <w:jc w:val="both"/>
        <w:rPr>
          <w:rFonts w:ascii="Times New Roman" w:hAnsi="Times New Roman"/>
          <w:sz w:val="20"/>
        </w:rPr>
      </w:pPr>
      <w:r>
        <w:rPr>
          <w:rFonts w:ascii="Times New Roman" w:hAnsi="Times New Roman"/>
          <w:color w:val="000000"/>
          <w:sz w:val="24"/>
        </w:rPr>
        <w:t>Based upon the foregoing, and subject to the assumptions, qualifications and limitations set forth herein, we are of the opinion that the Shares have been duly authorized and, when issued and paid for pursuant to the ATM Agreement, will be validly issued, fully paid and nonassessable.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This opinion is limited in all respects to the federal laws of the United States of America and the Delaware General Corporation Law, and no opinion is expressed with respect to the laws of any other jurisdiction or any effect that such laws may have on the opinions expressed herein.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Shimmick Corporation</w:t>
        <w:br/>
        <w:t>September 8, 2025</w:t>
      </w:r>
    </w:p>
    <w:p>
      <w:pPr>
        <w:pStyle w:val="TextBody"/>
        <w:bidi w:val="0"/>
        <w:jc w:val="left"/>
        <w:rPr>
          <w:rFonts w:ascii="Times New Roman" w:hAnsi="Times New Roman"/>
          <w:color w:val="000000"/>
          <w:sz w:val="24"/>
        </w:rPr>
      </w:pPr>
      <w:r>
        <w:rPr>
          <w:rFonts w:ascii="Times New Roman" w:hAnsi="Times New Roman"/>
          <w:color w:val="000000"/>
          <w:sz w:val="24"/>
        </w:rPr>
        <w:t>Page 2</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opinion is limited to the matters stated herein, and no opinion is implied or may be inferred beyond the matters expressly stated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opinion is given as of the date hereof, and we assume no obligation to advise you after the date hereof of facts or circumstances that come to our attention or changes in law that occur, which could affect the opinions contained herein. This opinion is being rendered for the benefit of the Company in connection with the matters addressed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hereby consent to the inclusion of this opinion as Exhibit 5.1 to the Registration Statement and to the reference to us under the caption “Legal Matters” in the Prospectus Supplement. In giving such consent, we do not admit that we are in the category of persons whose consent is required under Section 7 of the Securities Act of 1933, as amended.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/s/ King &amp; Spalding LLP</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1"/>
        </w:rPr>
      </w:pPr>
      <w:bookmarkStart w:id="4" w:name="shim-ex10_1.htm"/>
      <w:bookmarkStart w:id="5" w:name="ksshimex10_1"/>
      <w:bookmarkEnd w:id="4"/>
      <w:bookmarkEnd w:id="5"/>
      <w:r>
        <w:rPr>
          <w:rFonts w:ascii="Times New Roman" w:hAnsi="Times New Roman"/>
          <w:b/>
          <w:color w:val="000000"/>
          <w:sz w:val="21"/>
        </w:rPr>
        <w:t>Exhibit 10.1</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AT THE MARKET OFFERING AGREEMENT</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September 8, 2025</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Roth Capital Partners, LLC</w:t>
      </w:r>
    </w:p>
    <w:p>
      <w:pPr>
        <w:pStyle w:val="TextBody"/>
        <w:bidi w:val="0"/>
        <w:jc w:val="left"/>
        <w:rPr>
          <w:rFonts w:ascii="Times New Roman" w:hAnsi="Times New Roman"/>
          <w:color w:val="000000"/>
          <w:sz w:val="24"/>
        </w:rPr>
      </w:pPr>
      <w:r>
        <w:rPr>
          <w:rFonts w:ascii="Times New Roman" w:hAnsi="Times New Roman"/>
          <w:color w:val="000000"/>
          <w:sz w:val="24"/>
        </w:rPr>
        <w:t>888 San Clemente Drive</w:t>
      </w:r>
    </w:p>
    <w:p>
      <w:pPr>
        <w:pStyle w:val="TextBody"/>
        <w:bidi w:val="0"/>
        <w:jc w:val="left"/>
        <w:rPr>
          <w:rFonts w:ascii="Times New Roman" w:hAnsi="Times New Roman"/>
          <w:color w:val="000000"/>
          <w:sz w:val="24"/>
        </w:rPr>
      </w:pPr>
      <w:r>
        <w:rPr>
          <w:rFonts w:ascii="Times New Roman" w:hAnsi="Times New Roman"/>
          <w:color w:val="000000"/>
          <w:sz w:val="24"/>
        </w:rPr>
        <w:t>Suite 400</w:t>
      </w:r>
    </w:p>
    <w:p>
      <w:pPr>
        <w:pStyle w:val="TextBody"/>
        <w:bidi w:val="0"/>
        <w:jc w:val="left"/>
        <w:rPr>
          <w:rFonts w:ascii="Times New Roman" w:hAnsi="Times New Roman"/>
          <w:color w:val="000000"/>
          <w:sz w:val="24"/>
        </w:rPr>
      </w:pPr>
      <w:r>
        <w:rPr>
          <w:rFonts w:ascii="Times New Roman" w:hAnsi="Times New Roman"/>
          <w:color w:val="000000"/>
          <w:sz w:val="24"/>
        </w:rPr>
        <w:t>Newport Beach, CA 92660</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Ladies and Gentlemen:</w:t>
      </w:r>
    </w:p>
    <w:p>
      <w:pPr>
        <w:pStyle w:val="TextBody"/>
        <w:bidi w:val="0"/>
        <w:jc w:val="both"/>
        <w:rPr>
          <w:rFonts w:ascii="Times New Roman" w:hAnsi="Times New Roman"/>
          <w:sz w:val="20"/>
        </w:rPr>
      </w:pPr>
      <w:r>
        <w:rPr>
          <w:rFonts w:ascii="Times New Roman" w:hAnsi="Times New Roman"/>
          <w:color w:val="000000"/>
          <w:sz w:val="24"/>
        </w:rPr>
        <w:t>Shimmick Corporation, a corporation organized under the laws of the State of Delaware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confirms its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with Roth Capital Partners, LLC (the “</w:t>
      </w:r>
      <w:r>
        <w:rPr>
          <w:rFonts w:ascii="Times New Roman" w:hAnsi="Times New Roman"/>
          <w:color w:val="000000"/>
          <w:sz w:val="24"/>
          <w:u w:val="single"/>
        </w:rPr>
        <w:t>Manager</w:t>
      </w:r>
      <w:r>
        <w:rPr>
          <w:rFonts w:ascii="Times New Roman" w:hAnsi="Times New Roman"/>
          <w:color w:val="000000"/>
          <w:sz w:val="20"/>
        </w:rPr>
        <w:t>”</w:t>
      </w:r>
      <w:r>
        <w:rPr>
          <w:rFonts w:ascii="Times New Roman" w:hAnsi="Times New Roman"/>
          <w:color w:val="000000"/>
          <w:sz w:val="24"/>
        </w:rPr>
        <w:t>) as follows: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Definitions</w:t>
      </w:r>
      <w:r>
        <w:rPr>
          <w:rFonts w:ascii="Times New Roman" w:hAnsi="Times New Roman"/>
          <w:color w:val="000000"/>
          <w:sz w:val="24"/>
        </w:rPr>
        <w:t>. The terms that follow, when used in this Agreement and any Terms Agreement, shall have the meanings indicated.</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Accountants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4(m).</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Act</w:t>
      </w:r>
      <w:r>
        <w:rPr>
          <w:rFonts w:ascii="Times New Roman" w:hAnsi="Times New Roman"/>
          <w:color w:val="000000"/>
          <w:sz w:val="20"/>
        </w:rPr>
        <w:t xml:space="preserve">” </w:t>
      </w:r>
      <w:r>
        <w:rPr>
          <w:rFonts w:ascii="Times New Roman" w:hAnsi="Times New Roman"/>
          <w:color w:val="000000"/>
          <w:sz w:val="24"/>
        </w:rPr>
        <w:t>shall mean the Securities Act of 1933, as amended, and the rules and regulations of the Commission promulgated thereunder.</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Action</w:t>
      </w:r>
      <w:r>
        <w:rPr>
          <w:rFonts w:ascii="Times New Roman" w:hAnsi="Times New Roman"/>
          <w:color w:val="000000"/>
          <w:sz w:val="20"/>
        </w:rPr>
        <w:t xml:space="preserve">” </w:t>
      </w:r>
      <w:r>
        <w:rPr>
          <w:rFonts w:ascii="Times New Roman" w:hAnsi="Times New Roman"/>
          <w:color w:val="000000"/>
          <w:sz w:val="24"/>
        </w:rPr>
        <w:t>shall have the meaning ascribed to such term in Section 3(p).</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shall have the meaning ascribed to such term in Section 3(o).</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Applicable Time</w:t>
      </w:r>
      <w:r>
        <w:rPr>
          <w:rFonts w:ascii="Times New Roman" w:hAnsi="Times New Roman"/>
          <w:color w:val="000000"/>
          <w:sz w:val="20"/>
        </w:rPr>
        <w:t xml:space="preserve">” </w:t>
      </w:r>
      <w:r>
        <w:rPr>
          <w:rFonts w:ascii="Times New Roman" w:hAnsi="Times New Roman"/>
          <w:color w:val="000000"/>
          <w:sz w:val="24"/>
        </w:rPr>
        <w:t>shall mean, with respect to any Shares, the time of sale of such Shares pursuant to this Agreement or any relevant Terms Agreement.</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color w:val="000000"/>
          <w:sz w:val="24"/>
          <w:u w:val="single"/>
        </w:rPr>
        <w:t>Base Prospectus</w:t>
      </w:r>
      <w:r>
        <w:rPr>
          <w:rFonts w:ascii="Times New Roman" w:hAnsi="Times New Roman"/>
          <w:color w:val="000000"/>
          <w:sz w:val="20"/>
        </w:rPr>
        <w:t xml:space="preserve">” </w:t>
      </w:r>
      <w:r>
        <w:rPr>
          <w:rFonts w:ascii="Times New Roman" w:hAnsi="Times New Roman"/>
          <w:color w:val="000000"/>
          <w:sz w:val="24"/>
        </w:rPr>
        <w:t>shall mean the base prospectus contained in the Registration Statement at the Execution Time.</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shall have the meaning ascribed to such term in Section 2(b)(iii).</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Broker Fee</w:t>
      </w:r>
      <w:r>
        <w:rPr>
          <w:rFonts w:ascii="Times New Roman" w:hAnsi="Times New Roman"/>
          <w:color w:val="000000"/>
          <w:sz w:val="20"/>
        </w:rPr>
        <w:t xml:space="preserve">” </w:t>
      </w:r>
      <w:r>
        <w:rPr>
          <w:rFonts w:ascii="Times New Roman" w:hAnsi="Times New Roman"/>
          <w:color w:val="000000"/>
          <w:sz w:val="24"/>
        </w:rPr>
        <w:t>shall have the meaning ascribed to such term in Section 2(b)(v).</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 xml:space="preserve">shall mean any day other than Saturday, Sunday or other day on which commercial banks in The City of New York are authorized or required by law to remain closed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for purposes of clarity, commercial banks shall not be deemed to be authorized or required by law to remain closed due to “stay at home”, “shelter-in-place”, “non-essential employee”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Commission</w:t>
      </w:r>
      <w:r>
        <w:rPr>
          <w:rFonts w:ascii="Times New Roman" w:hAnsi="Times New Roman"/>
          <w:color w:val="000000"/>
          <w:sz w:val="20"/>
        </w:rPr>
        <w:t xml:space="preserve">” </w:t>
      </w:r>
      <w:r>
        <w:rPr>
          <w:rFonts w:ascii="Times New Roman" w:hAnsi="Times New Roman"/>
          <w:color w:val="000000"/>
          <w:sz w:val="24"/>
        </w:rPr>
        <w:t>shall mean the United States Securities and Exchange Commission.</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shall have the meaning ascribed to such term in Section 2.</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Common Stock Equivalents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3(g).</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Company Counsel</w:t>
      </w:r>
      <w:r>
        <w:rPr>
          <w:rFonts w:ascii="Times New Roman" w:hAnsi="Times New Roman"/>
          <w:color w:val="000000"/>
          <w:sz w:val="20"/>
        </w:rPr>
        <w:t xml:space="preserve">” </w:t>
      </w:r>
      <w:r>
        <w:rPr>
          <w:rFonts w:ascii="Times New Roman" w:hAnsi="Times New Roman"/>
          <w:color w:val="000000"/>
          <w:sz w:val="24"/>
        </w:rPr>
        <w:t>shall have the meaning ascribed to such term in Section 4(l).</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DTC</w:t>
      </w:r>
      <w:r>
        <w:rPr>
          <w:rFonts w:ascii="Times New Roman" w:hAnsi="Times New Roman"/>
          <w:color w:val="000000"/>
          <w:sz w:val="20"/>
        </w:rPr>
        <w:t xml:space="preserve">” </w:t>
      </w:r>
      <w:r>
        <w:rPr>
          <w:rFonts w:ascii="Times New Roman" w:hAnsi="Times New Roman"/>
          <w:color w:val="000000"/>
          <w:sz w:val="24"/>
        </w:rPr>
        <w:t>shall have the meaning ascribed to such term in Section 2(b)(vii).</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shall mean each date and time that the Registration Statement and any post-effective amendment or amendments thereto became or becomes effective.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shall mean the Securities Exchange Act of 1934, as amended, and the rules and regulations of the Commission promulgated thereunder.</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Execution Time</w:t>
      </w:r>
      <w:r>
        <w:rPr>
          <w:rFonts w:ascii="Times New Roman" w:hAnsi="Times New Roman"/>
          <w:color w:val="000000"/>
          <w:sz w:val="20"/>
        </w:rPr>
        <w:t xml:space="preserve">” </w:t>
      </w:r>
      <w:r>
        <w:rPr>
          <w:rFonts w:ascii="Times New Roman" w:hAnsi="Times New Roman"/>
          <w:color w:val="000000"/>
          <w:sz w:val="24"/>
        </w:rPr>
        <w:t>shall mean the date and time that this Agreement is executed and delivered by the parties hereto.</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Free Writing Prospectus</w:t>
      </w:r>
      <w:r>
        <w:rPr>
          <w:rFonts w:ascii="Times New Roman" w:hAnsi="Times New Roman"/>
          <w:color w:val="000000"/>
          <w:sz w:val="20"/>
        </w:rPr>
        <w:t xml:space="preserve">” </w:t>
      </w:r>
      <w:r>
        <w:rPr>
          <w:rFonts w:ascii="Times New Roman" w:hAnsi="Times New Roman"/>
          <w:color w:val="000000"/>
          <w:sz w:val="24"/>
        </w:rPr>
        <w:t>shall mean a free writing prospectus, as defined in Rule 405.</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shall have the meaning ascribed to such term in Section 3(m).</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Incorporated Documents</w:t>
      </w:r>
      <w:r>
        <w:rPr>
          <w:rFonts w:ascii="Times New Roman" w:hAnsi="Times New Roman"/>
          <w:color w:val="000000"/>
          <w:sz w:val="20"/>
        </w:rPr>
        <w:t xml:space="preserve">” </w:t>
      </w:r>
      <w:r>
        <w:rPr>
          <w:rFonts w:ascii="Times New Roman" w:hAnsi="Times New Roman"/>
          <w:color w:val="000000"/>
          <w:sz w:val="24"/>
        </w:rPr>
        <w:t>shall mean the documents or portions thereof filed with the Commission on or prior to the Effective Date that are incorporated by reference in the Registration Statement or the Prospectus and any documents or portions thereof filed with the Commission after the Effective Date that are deemed to be incorporated by reference in the Registration Statement or the Prospectus.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Intellectual Property Rights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3(v).</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Issuer Free Writing Prospectus</w:t>
      </w:r>
      <w:r>
        <w:rPr>
          <w:rFonts w:ascii="Times New Roman" w:hAnsi="Times New Roman"/>
          <w:color w:val="000000"/>
          <w:sz w:val="20"/>
        </w:rPr>
        <w:t xml:space="preserve">” </w:t>
      </w:r>
      <w:r>
        <w:rPr>
          <w:rFonts w:ascii="Times New Roman" w:hAnsi="Times New Roman"/>
          <w:color w:val="000000"/>
          <w:sz w:val="24"/>
        </w:rPr>
        <w:t>shall mean an issuer free writing prospectus, as defined in Rule 433.</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color w:val="000000"/>
        </w:rPr>
        <w:t>“</w:t>
      </w:r>
      <w:r>
        <w:rPr>
          <w:rFonts w:ascii="Times New Roman" w:hAnsi="Times New Roman"/>
          <w:color w:val="000000"/>
          <w:sz w:val="24"/>
          <w:u w:val="single"/>
        </w:rPr>
        <w:t>Losses</w:t>
      </w:r>
      <w:r>
        <w:rPr>
          <w:rFonts w:ascii="Times New Roman" w:hAnsi="Times New Roman"/>
          <w:color w:val="000000"/>
          <w:sz w:val="20"/>
        </w:rPr>
        <w:t xml:space="preserve">” </w:t>
      </w:r>
      <w:r>
        <w:rPr>
          <w:rFonts w:ascii="Times New Roman" w:hAnsi="Times New Roman"/>
          <w:color w:val="000000"/>
          <w:sz w:val="24"/>
        </w:rPr>
        <w:t>shall have the meaning ascribed to such term in Section 7(d).</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shall have the meaning ascribed to such term in Section 3(b).</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Material Permits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Net Proceeds</w:t>
      </w:r>
      <w:r>
        <w:rPr>
          <w:rFonts w:ascii="Times New Roman" w:hAnsi="Times New Roman"/>
          <w:color w:val="000000"/>
          <w:sz w:val="20"/>
        </w:rPr>
        <w:t xml:space="preserve">” </w:t>
      </w:r>
      <w:r>
        <w:rPr>
          <w:rFonts w:ascii="Times New Roman" w:hAnsi="Times New Roman"/>
          <w:color w:val="000000"/>
          <w:sz w:val="24"/>
        </w:rPr>
        <w:t>shall have the meaning ascribed to such term in Section 2(b)(v).</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Permitted Free Writing Prospectus</w:t>
      </w:r>
      <w:r>
        <w:rPr>
          <w:rFonts w:ascii="Times New Roman" w:hAnsi="Times New Roman"/>
          <w:color w:val="000000"/>
          <w:sz w:val="20"/>
        </w:rPr>
        <w:t xml:space="preserve">” </w:t>
      </w:r>
      <w:r>
        <w:rPr>
          <w:rFonts w:ascii="Times New Roman" w:hAnsi="Times New Roman"/>
          <w:color w:val="000000"/>
          <w:sz w:val="24"/>
        </w:rPr>
        <w:t>shall have the meaning ascribed to such term in Section 4(g).</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Placement</w:t>
      </w:r>
      <w:r>
        <w:rPr>
          <w:rFonts w:ascii="Times New Roman" w:hAnsi="Times New Roman"/>
          <w:color w:val="000000"/>
          <w:sz w:val="20"/>
        </w:rPr>
        <w:t xml:space="preserve">” </w:t>
      </w:r>
      <w:r>
        <w:rPr>
          <w:rFonts w:ascii="Times New Roman" w:hAnsi="Times New Roman"/>
          <w:color w:val="000000"/>
          <w:sz w:val="24"/>
        </w:rPr>
        <w:t>shall have the meaning ascribed to such term in Section 2(c).</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Proceeding</w:t>
      </w:r>
      <w:r>
        <w:rPr>
          <w:rFonts w:ascii="Times New Roman" w:hAnsi="Times New Roman"/>
          <w:color w:val="000000"/>
          <w:sz w:val="20"/>
        </w:rPr>
        <w:t xml:space="preserve">” </w:t>
      </w:r>
      <w:r>
        <w:rPr>
          <w:rFonts w:ascii="Times New Roman" w:hAnsi="Times New Roman"/>
          <w:color w:val="000000"/>
          <w:sz w:val="24"/>
        </w:rPr>
        <w:t>shall have the meaning ascribed to such term in Section 3(b).</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Prospectus</w:t>
      </w:r>
      <w:r>
        <w:rPr>
          <w:rFonts w:ascii="Times New Roman" w:hAnsi="Times New Roman"/>
          <w:color w:val="000000"/>
          <w:sz w:val="20"/>
        </w:rPr>
        <w:t xml:space="preserve">” </w:t>
      </w:r>
      <w:r>
        <w:rPr>
          <w:rFonts w:ascii="Times New Roman" w:hAnsi="Times New Roman"/>
          <w:color w:val="000000"/>
          <w:sz w:val="24"/>
        </w:rPr>
        <w:t>shall mean the Base Prospectus, as supplemented by the most recently filed Prospectus Supplement.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Prospectus Supplement</w:t>
      </w:r>
      <w:r>
        <w:rPr>
          <w:rFonts w:ascii="Times New Roman" w:hAnsi="Times New Roman"/>
          <w:color w:val="000000"/>
          <w:sz w:val="20"/>
        </w:rPr>
        <w:t xml:space="preserve">” </w:t>
      </w:r>
      <w:r>
        <w:rPr>
          <w:rFonts w:ascii="Times New Roman" w:hAnsi="Times New Roman"/>
          <w:color w:val="000000"/>
          <w:sz w:val="24"/>
        </w:rPr>
        <w:t>shall mean each prospectus supplement relating to the Shares filed or to be filed pursuant to Rule 424(b).</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shall mean the shelf registration statement (File Number 333-288513) on Form S-3,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Representation Date</w:t>
      </w:r>
      <w:r>
        <w:rPr>
          <w:rFonts w:ascii="Times New Roman" w:hAnsi="Times New Roman"/>
          <w:color w:val="000000"/>
          <w:sz w:val="20"/>
        </w:rPr>
        <w:t xml:space="preserve">” </w:t>
      </w:r>
      <w:r>
        <w:rPr>
          <w:rFonts w:ascii="Times New Roman" w:hAnsi="Times New Roman"/>
          <w:color w:val="000000"/>
          <w:sz w:val="24"/>
        </w:rPr>
        <w:t>shall have the meaning ascribed to such term in Section 4(k).</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Required Approvals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Rule 158</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164</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172</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173</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405</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415</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424</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Rule 430B</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Rule 433</w:t>
      </w:r>
      <w:r>
        <w:rPr>
          <w:rFonts w:ascii="Times New Roman" w:hAnsi="Times New Roman"/>
          <w:color w:val="000000"/>
          <w:sz w:val="20"/>
        </w:rPr>
        <w:t xml:space="preserve">” </w:t>
      </w:r>
      <w:r>
        <w:rPr>
          <w:rFonts w:ascii="Times New Roman" w:hAnsi="Times New Roman"/>
          <w:color w:val="000000"/>
          <w:sz w:val="24"/>
        </w:rPr>
        <w:t>refer to such rules under the Act.</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Sales Notice</w:t>
      </w:r>
      <w:r>
        <w:rPr>
          <w:rFonts w:ascii="Times New Roman" w:hAnsi="Times New Roman"/>
          <w:color w:val="000000"/>
          <w:sz w:val="20"/>
        </w:rPr>
        <w:t xml:space="preserve">” </w:t>
      </w:r>
      <w:r>
        <w:rPr>
          <w:rFonts w:ascii="Times New Roman" w:hAnsi="Times New Roman"/>
          <w:color w:val="000000"/>
          <w:sz w:val="24"/>
        </w:rPr>
        <w:t>shall have the meaning ascribed to such term in Section 2(b)(i).</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SEC Reports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3(m).</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Settlement Date</w:t>
      </w:r>
      <w:r>
        <w:rPr>
          <w:rFonts w:ascii="Times New Roman" w:hAnsi="Times New Roman"/>
          <w:color w:val="000000"/>
          <w:sz w:val="20"/>
        </w:rPr>
        <w:t xml:space="preserve">” </w:t>
      </w:r>
      <w:r>
        <w:rPr>
          <w:rFonts w:ascii="Times New Roman" w:hAnsi="Times New Roman"/>
          <w:color w:val="000000"/>
          <w:sz w:val="24"/>
        </w:rPr>
        <w:t>shall have the meaning ascribed to such term in Section 2(b)(vii).</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shall have the meaning ascribed to such term in Section 3(a).</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Terms Agreement</w:t>
      </w:r>
      <w:r>
        <w:rPr>
          <w:rFonts w:ascii="Times New Roman" w:hAnsi="Times New Roman"/>
          <w:color w:val="000000"/>
          <w:sz w:val="20"/>
        </w:rPr>
        <w:t xml:space="preserve">” </w:t>
      </w:r>
      <w:r>
        <w:rPr>
          <w:rFonts w:ascii="Times New Roman" w:hAnsi="Times New Roman"/>
          <w:color w:val="000000"/>
          <w:sz w:val="24"/>
        </w:rPr>
        <w:t>shall have the meaning ascribed to such term in Section 2(a).</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Time of Delivery</w:t>
      </w:r>
      <w:r>
        <w:rPr>
          <w:rFonts w:ascii="Times New Roman" w:hAnsi="Times New Roman"/>
          <w:color w:val="000000"/>
          <w:sz w:val="20"/>
        </w:rPr>
        <w:t xml:space="preserve">” </w:t>
      </w:r>
      <w:r>
        <w:rPr>
          <w:rFonts w:ascii="Times New Roman" w:hAnsi="Times New Roman"/>
          <w:color w:val="000000"/>
          <w:sz w:val="24"/>
        </w:rPr>
        <w:t>shall have the meaning ascribed to such term in Section 2(c).</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Trading Market is open for trading.</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the Nasdaq Capital Market.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color w:val="000000"/>
          <w:sz w:val="24"/>
          <w:u w:val="single"/>
        </w:rPr>
        <w:t>Sale and Delivery of Shares</w:t>
      </w:r>
      <w:r>
        <w:rPr>
          <w:rFonts w:ascii="Times New Roman" w:hAnsi="Times New Roman"/>
          <w:color w:val="000000"/>
          <w:sz w:val="24"/>
        </w:rPr>
        <w:t>. The Company proposes to issue and sell through or to the Manager, as sales agent and/or principal, from time to time during the term of this Agreement and on the terms set forth herein, up to the lesser of such number of shares (the “Shares”) of the Company’s common stock, $0.01 par value per share (“Common Stock”), that does not exceed (a) the number or dollar amount of shares of Common Stock registered on the Registration Statement and as reflected on the Prospectus Supplement, pursuant to which the offering is being made, (b) the number of authorized but unissued shares of Common Stock (less the number of shares of Common Stock issuable upon exercise, conversion or exchange of any outstanding securities of the Company or otherwise reserved from the Company’s authorized capital stock) or (c) the number or dollar amount of shares of Common Stock that would cause the Company or the offering of the Shares to not satisfy the eligibility and transaction requirements for use of Form S-3, including, if applicable, General Instruction I.B.6 of Registration Statement on Form S-3 (the lesser of (a) and (b), the “Maximum Amount”). Notwithstanding anything to the contrary contained herein, the parties hereto agree that compliance with the limitations set forth in this Section 2 on the number and aggregate sales price of Shares issued and sold under this Agreement shall be the sole responsibility of the Company and that the Manager shall have no obligation in connection with such compliance.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Appointment of Manager as Selling Agent; Terms Agreement</w:t>
      </w:r>
      <w:r>
        <w:rPr>
          <w:rFonts w:ascii="Times New Roman" w:hAnsi="Times New Roman"/>
          <w:color w:val="000000"/>
          <w:sz w:val="24"/>
        </w:rPr>
        <w:t>. For purposes of selling the Shares through the Manager, the Company hereby appoints the Manager as exclusive agent of the Company for the purpose of selling the Shares of the Company pursuant to this Agreement and the Manager agrees to use its commercially reasonable efforts to sell the Shares on the terms and subject to the conditions stated herein. The Company agrees that, whenever it determines to sell the Shares directly to the Manager as principal, it will enter into a separate agreement (each, a “</w:t>
      </w:r>
      <w:r>
        <w:rPr>
          <w:rFonts w:ascii="Times New Roman" w:hAnsi="Times New Roman"/>
          <w:color w:val="000000"/>
          <w:sz w:val="24"/>
          <w:u w:val="single"/>
        </w:rPr>
        <w:t>Terms Agreement</w:t>
      </w:r>
      <w:r>
        <w:rPr>
          <w:color w:val="000000"/>
        </w:rPr>
        <w:t>”</w:t>
      </w:r>
      <w:r>
        <w:rPr>
          <w:rFonts w:ascii="Times New Roman" w:hAnsi="Times New Roman"/>
          <w:color w:val="000000"/>
          <w:sz w:val="24"/>
        </w:rPr>
        <w:t xml:space="preserve">) in substantially the form of </w:t>
      </w:r>
      <w:r>
        <w:rPr>
          <w:rFonts w:ascii="Times New Roman" w:hAnsi="Times New Roman"/>
          <w:color w:val="000000"/>
          <w:sz w:val="24"/>
          <w:u w:val="single"/>
        </w:rPr>
        <w:t>Annex I</w:t>
      </w:r>
      <w:r>
        <w:rPr>
          <w:color w:val="000000"/>
        </w:rPr>
        <w:t xml:space="preserve"> </w:t>
      </w:r>
      <w:r>
        <w:rPr>
          <w:rFonts w:ascii="Times New Roman" w:hAnsi="Times New Roman"/>
          <w:color w:val="000000"/>
          <w:sz w:val="24"/>
        </w:rPr>
        <w:t>hereto, relating to such sale in accordance with Section 2 of this Agreement.</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Agent Sales</w:t>
      </w:r>
      <w:r>
        <w:rPr>
          <w:rFonts w:ascii="Times New Roman" w:hAnsi="Times New Roman"/>
          <w:color w:val="000000"/>
          <w:sz w:val="24"/>
        </w:rPr>
        <w:t xml:space="preserve">. Subject to the terms and conditions and in reliance upon the representations and warranties herein set forth, the Company will issue and agrees to sell Shares from time to time through the Manager, acting as sales agent, and the Manager agrees to use its commercially reasonable efforts to sell, as sales agent for the Company, on the following terms: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rPr>
        <w:t>The Shares are to be sold on a daily basis or otherwise as shall be agreed to by the Company and the Manager on any day that (A) is a Trading Day, (B) the Company has instructed the Manager by telephone (confirmed promptly by electronic mail) to make such sales (“</w:t>
      </w:r>
      <w:r>
        <w:rPr>
          <w:rFonts w:ascii="Times New Roman" w:hAnsi="Times New Roman"/>
          <w:color w:val="000000"/>
          <w:sz w:val="24"/>
          <w:u w:val="single"/>
        </w:rPr>
        <w:t>Sales Notice</w:t>
      </w:r>
      <w:r>
        <w:rPr>
          <w:color w:val="000000"/>
        </w:rPr>
        <w:t>”</w:t>
      </w:r>
      <w:r>
        <w:rPr>
          <w:rFonts w:ascii="Times New Roman" w:hAnsi="Times New Roman"/>
          <w:color w:val="000000"/>
          <w:sz w:val="24"/>
        </w:rPr>
        <w:t>) and (C) the Company has satisfied its obligations under Section 6 of this Agreement. The Company will designate the maximum amount of the Shares to be sold by the Manager daily (subject to the limitations set forth in Section 2(d)) and the minimum price per Share at which such Shares may be sold. Subject to the terms and conditions hereof, the Manager shall use its commercially reasonable efforts to sell on a particular day all of the Shares designated for the sale by the Company on such day. The gross sales price of the Shares sold under this Section 2(b) shall be the market price for the shares of Common Stock sold by the Manager under this Section 2(b) on the Trading Market at the time of sale of such Shares.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The Company acknowledges and agrees that (A) there can be no assurance that the Manager will be successful in selling the Shares, (B) the Manager will incur no liability or obligation to the Company or any other person or entity if it does not sell the Shares for any reason other than a failure by the Manager to use its commercially reasonable efforts consistent with its normal trading and sales practices and applicable law and regulations to sell such Shares as required under this Agreement, and (C) the Manager shall be under no obligation to purchase Shares on a principal basis pursuant to this Agreement, except as otherwise specifically agreed by the Manager and the Company pursuant to a Terms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pPr>
      <w:r>
        <w:rPr>
          <w:rFonts w:ascii="Times New Roman" w:hAnsi="Times New Roman"/>
          <w:color w:val="000000"/>
          <w:sz w:val="24"/>
        </w:rPr>
        <w:t>The Company shall not authorize the issuance and sale of, and the Manager shall not be obligated to use its commercially reasonable efforts to sell, any Share at a price lower than the minimum price therefor designated from time to time by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xml:space="preserve">), or a duly authorized committee thereof, or such duly authorized officers of the Company, and notified to the Manager in writing. The Company or the Manager may, upon notice to the other party hereto by telephone (confirmed promptly by electronic mail), suspend the offering of the Shares for any reason and at any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suspension or termination shall not affect or impair the parties’ respective obligations with respect to the Shares sold hereunder prior to the giving of such notice.</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(iv)</w:t>
      </w:r>
    </w:p>
    <w:p>
      <w:pPr>
        <w:pStyle w:val="TextBody"/>
        <w:bidi w:val="0"/>
        <w:jc w:val="both"/>
        <w:rPr>
          <w:rFonts w:ascii="Times New Roman" w:hAnsi="Times New Roman"/>
          <w:color w:val="000000"/>
          <w:sz w:val="24"/>
        </w:rPr>
      </w:pPr>
      <w:r>
        <w:rPr>
          <w:rFonts w:ascii="Times New Roman" w:hAnsi="Times New Roman"/>
          <w:color w:val="000000"/>
          <w:sz w:val="24"/>
        </w:rPr>
        <w:t>The Manager may sell Shares by any method permitted by law deemed to be an “at the market offering” as defined in Rule 415 under the Act, including without limitation sales made directly on the Trading Market, on any other existing trading market for the Common Stock or to or through a market maker. The Manager may also sell Shares in privately negotiated transactions, provided that the Manager receives the Company’s prior written approval for any sales in privately negotiated transactions and if so provided in the “Plan of Distribution” section of the Prospectus Supplement or a supplement to the Prospectus Supplement or a new Prospectus Supplement disclosing the terms of such privately negotiated transaction.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w:t>
      </w:r>
    </w:p>
    <w:p>
      <w:pPr>
        <w:pStyle w:val="TextBody"/>
        <w:bidi w:val="0"/>
        <w:jc w:val="both"/>
        <w:rPr/>
      </w:pPr>
      <w:r>
        <w:rPr>
          <w:rFonts w:ascii="Times New Roman" w:hAnsi="Times New Roman"/>
          <w:color w:val="000000"/>
          <w:sz w:val="24"/>
        </w:rPr>
        <w:t>The compensation to the Manager for sales of the Shares under this Section 2(b) shall be a placement fee of 3.0% of the gross sales price of the Shares sold pursuant to this Section 2(b) (“</w:t>
      </w:r>
      <w:r>
        <w:rPr>
          <w:rFonts w:ascii="Times New Roman" w:hAnsi="Times New Roman"/>
          <w:color w:val="000000"/>
          <w:sz w:val="24"/>
          <w:u w:val="single"/>
        </w:rPr>
        <w:t>Broker Fee</w:t>
      </w:r>
      <w:r>
        <w:rPr>
          <w:color w:val="000000"/>
        </w:rPr>
        <w:t>”</w:t>
      </w:r>
      <w:r>
        <w:rPr>
          <w:rFonts w:ascii="Times New Roman" w:hAnsi="Times New Roman"/>
          <w:color w:val="000000"/>
          <w:sz w:val="24"/>
        </w:rPr>
        <w:t>). The foregoing rate of compensation shall not apply when the Manager acts as principal, in which case the Company may sell Shares to the Manager as principal at a price agreed upon at the relevant Applicable Time pursuant to a Terms Agreement.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Times New Roman" w:hAnsi="Times New Roman"/>
          <w:color w:val="000000"/>
          <w:sz w:val="24"/>
          <w:u w:val="single"/>
        </w:rPr>
        <w:t>Net Proceeds</w:t>
      </w:r>
      <w:r>
        <w:rPr>
          <w:color w:val="000000"/>
        </w:rPr>
        <w:t>”</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(vi)</w:t>
      </w:r>
    </w:p>
    <w:p>
      <w:pPr>
        <w:pStyle w:val="TextBody"/>
        <w:bidi w:val="0"/>
        <w:jc w:val="both"/>
        <w:rPr>
          <w:rFonts w:ascii="Times New Roman" w:hAnsi="Times New Roman"/>
          <w:color w:val="000000"/>
          <w:sz w:val="24"/>
        </w:rPr>
      </w:pPr>
      <w:r>
        <w:rPr>
          <w:rFonts w:ascii="Times New Roman" w:hAnsi="Times New Roman"/>
          <w:color w:val="000000"/>
          <w:sz w:val="24"/>
        </w:rPr>
        <w:t>The Manager shall provide written confirmation (which may be by facsimile or electronic mail) to the Company following the close of trading on the Trading Market each day in which the Shares are sold under this Section 2(b) setting forth the number of the Shares sold on such day, the aggregate gross sales proceeds and the Net Proceeds to the Company, and the compensation payable by the Company to the Manager with respect to such sales.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(vii)</w:t>
      </w:r>
    </w:p>
    <w:p>
      <w:pPr>
        <w:pStyle w:val="TextBody"/>
        <w:bidi w:val="0"/>
        <w:jc w:val="both"/>
        <w:rPr/>
      </w:pPr>
      <w:r>
        <w:rPr>
          <w:rFonts w:ascii="Times New Roman" w:hAnsi="Times New Roman"/>
          <w:color w:val="000000"/>
          <w:sz w:val="24"/>
        </w:rPr>
        <w:t>Unless otherwise agreed between the Company and the Manager, settlement for sales of the Shares will occur at 10:00 a.m. (New York City time) on the first (1st) Trading Day (or any other settlement cycle as may be in effect pursuant to Rule 15c6-1 under the Exchange Act from time to time) following the date on which such sales are made (each, a “</w:t>
      </w:r>
      <w:r>
        <w:rPr>
          <w:rFonts w:ascii="Times New Roman" w:hAnsi="Times New Roman"/>
          <w:color w:val="000000"/>
          <w:sz w:val="24"/>
          <w:u w:val="single"/>
        </w:rPr>
        <w:t>Settlement Date</w:t>
      </w:r>
      <w:r>
        <w:rPr>
          <w:color w:val="000000"/>
        </w:rPr>
        <w:t>”</w:t>
      </w:r>
      <w:r>
        <w:rPr>
          <w:rFonts w:ascii="Times New Roman" w:hAnsi="Times New Roman"/>
          <w:color w:val="000000"/>
          <w:sz w:val="24"/>
        </w:rPr>
        <w:t>). On or before the Trading Day prior to each Settlement Date, the Company will, or will cause its transfer agent to, electronically transfer the Shares being sold by crediting the Manager’s or its designee’s account (provided that the Manager shall have given the Company written notice of such designee at least one Trading Day prior to the Settlement Date) at The Depository Trust Company (“</w:t>
      </w:r>
      <w:r>
        <w:rPr>
          <w:rFonts w:ascii="Times New Roman" w:hAnsi="Times New Roman"/>
          <w:color w:val="000000"/>
          <w:sz w:val="24"/>
          <w:u w:val="single"/>
        </w:rPr>
        <w:t>DTC</w:t>
      </w:r>
      <w:r>
        <w:rPr>
          <w:color w:val="000000"/>
        </w:rPr>
        <w:t>”</w:t>
      </w:r>
      <w:r>
        <w:rPr>
          <w:rFonts w:ascii="Times New Roman" w:hAnsi="Times New Roman"/>
          <w:color w:val="000000"/>
          <w:sz w:val="24"/>
        </w:rPr>
        <w:t xml:space="preserve">) through its Deposit and Withdrawal at Custodian System or by such other means of delivery as may be mutually agreed upon by the parties hereto which Shares shall be freely tradable (subject, as the case may be, to compliance with the appliable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requirements of Rule 144 of the Act for any Shares held by affiliates), transferable, registered shares in good deliverable form. On or prior to each Settlement Date, the Manager will deliver the related Net Proceeds in same day funds to an account designated by the Company. The Company agrees that, if the Company, or its transfer agent (if applicable), defaults in its obligation to deliver duly authorized Shares on a Settlement Date, in addition to and in no way limiting the rights and obligations set forth in Section 7 hereto, the Company will (i) hold the Manager harmless against any loss, claim, damage, or reasonable, documented expense (including reasonable and documented legal fees and expenses), as incurred, arising out of or in connection with such default by the Company, and (ii) pay to the Manager any commission, discount or other compensation to which the Manager would otherwise have been entitled absent such default.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(viii)</w:t>
      </w:r>
    </w:p>
    <w:p>
      <w:pPr>
        <w:pStyle w:val="TextBody"/>
        <w:bidi w:val="0"/>
        <w:jc w:val="both"/>
        <w:rPr>
          <w:rFonts w:ascii="Times New Roman" w:hAnsi="Times New Roman"/>
          <w:color w:val="000000"/>
          <w:sz w:val="24"/>
        </w:rPr>
      </w:pPr>
      <w:r>
        <w:rPr>
          <w:rFonts w:ascii="Times New Roman" w:hAnsi="Times New Roman"/>
          <w:color w:val="000000"/>
          <w:sz w:val="24"/>
        </w:rPr>
        <w:t>At each Applicable Time, Settlement Date, and Representation Date,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(ix)</w:t>
      </w:r>
    </w:p>
    <w:p>
      <w:pPr>
        <w:pStyle w:val="TextBody"/>
        <w:bidi w:val="0"/>
        <w:jc w:val="both"/>
        <w:rPr/>
      </w:pPr>
      <w:r>
        <w:rPr>
          <w:rFonts w:ascii="Times New Roman" w:hAnsi="Times New Roman"/>
          <w:color w:val="000000"/>
          <w:sz w:val="24"/>
        </w:rPr>
        <w:t>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4"/>
          <w:u w:val="single"/>
        </w:rPr>
        <w:t>Distribution</w:t>
      </w:r>
      <w:r>
        <w:rPr>
          <w:color w:val="000000"/>
        </w:rPr>
        <w:t xml:space="preserve">” </w:t>
      </w:r>
      <w:r>
        <w:rPr>
          <w:rFonts w:ascii="Times New Roman" w:hAnsi="Times New Roman"/>
          <w:color w:val="000000"/>
          <w:sz w:val="24"/>
        </w:rPr>
        <w:t>and the record date for the determination of stockholders entitled to receive the Distribution, the “</w:t>
      </w:r>
      <w:r>
        <w:rPr>
          <w:rFonts w:ascii="Times New Roman" w:hAnsi="Times New Roman"/>
          <w:color w:val="000000"/>
          <w:sz w:val="24"/>
          <w:u w:val="single"/>
        </w:rPr>
        <w:t>Record Date</w:t>
      </w:r>
      <w:r>
        <w:rPr>
          <w:color w:val="000000"/>
        </w:rPr>
        <w:t>”</w:t>
      </w:r>
      <w:r>
        <w:rPr>
          <w:rFonts w:ascii="Times New Roman" w:hAnsi="Times New Roman"/>
          <w:color w:val="000000"/>
          <w:sz w:val="24"/>
        </w:rPr>
        <w:t xml:space="preserve">), the Company hereby covenants that, in connection with any sales of Shares pursuant to a Sales Notice on the Record Date, the Company shall issue and deliver such Shares to the Manager on the Record Date and the Record Date shall be the Settlement Date and the Company shall cover any reasonable additional costs of the Manager in connection with the delivery of Shares on the Record Date.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Term Sales</w:t>
      </w:r>
      <w:r>
        <w:rPr>
          <w:rFonts w:ascii="Times New Roman" w:hAnsi="Times New Roman"/>
          <w:color w:val="000000"/>
          <w:sz w:val="24"/>
        </w:rPr>
        <w:t>. If the Company wishes to sell the Shares pursuant to this Agreement in a manner other than as set forth in Section 2(b) of this Agreement (each, a “</w:t>
      </w:r>
      <w:r>
        <w:rPr>
          <w:rFonts w:ascii="Times New Roman" w:hAnsi="Times New Roman"/>
          <w:color w:val="000000"/>
          <w:sz w:val="24"/>
          <w:u w:val="single"/>
        </w:rPr>
        <w:t>Placement</w:t>
      </w:r>
      <w:r>
        <w:rPr>
          <w:color w:val="000000"/>
        </w:rPr>
        <w:t>”</w:t>
      </w:r>
      <w:r>
        <w:rPr>
          <w:rFonts w:ascii="Times New Roman" w:hAnsi="Times New Roman"/>
          <w:color w:val="000000"/>
          <w:sz w:val="24"/>
        </w:rPr>
        <w:t xml:space="preserve">), the Company will notify the Manager of the proposed terms of such Placement. If the Manager, acting as principal, wishes to accept such proposed terms (which it may decline to do for any reason in its sole discretion) or,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following discussions with the Company wishes to accept amended terms, the Manager and the Company will enter into a Terms Agreement setting forth the terms of such Placement. The terms set forth in a Terms Agreement will not be binding on the Company or the Manager unless and until the Company and the Manager have each executed such Terms Agreement accepting all of the terms of such Terms Agreement. In the event of a conflict between the terms of this Agreement and the terms of a Terms Agreement, the terms of such Terms Agreement will control. A Terms Agreement may also specify certain provisions relating to the reoffering of such Shares by the Manager. The commitment of the Manager to purchase the Shares pursuant to any Terms Agreement shall be deemed to have been made on the basis of the representations and warranties of the Company herein contained and shall be subject to the terms and conditions herein set forth, as such may be modified pursuant to the applicable Terms Agreement. Each Terms Agreement shall specify the number of the Shares to be purchased by the Manager pursuant thereto, the price to be paid to the Company for such Shares, any provisions relating to rights of, and default by, underwriters acting together with the Manager in the reoffering of the Shares, and the time and date (each such time and date being referred to herein as a “</w:t>
      </w:r>
      <w:r>
        <w:rPr>
          <w:rFonts w:ascii="Times New Roman" w:hAnsi="Times New Roman"/>
          <w:color w:val="000000"/>
          <w:sz w:val="24"/>
          <w:u w:val="single"/>
        </w:rPr>
        <w:t>Time of Delivery</w:t>
      </w:r>
      <w:r>
        <w:rPr>
          <w:color w:val="000000"/>
        </w:rPr>
        <w:t>”</w:t>
      </w:r>
      <w:r>
        <w:rPr>
          <w:rFonts w:ascii="Times New Roman" w:hAnsi="Times New Roman"/>
          <w:color w:val="000000"/>
          <w:sz w:val="24"/>
        </w:rPr>
        <w:t>) and place of delivery of and payment for such Shares. Such Terms Agreement shall also specify any requirements for opinions of counsel, accountants’ letters and officers’ certificates pursuant to Section 6 of this Agreement and any other information or documents reasonably required by the Manager.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Maximum Number of Shares</w:t>
      </w:r>
      <w:r>
        <w:rPr>
          <w:rFonts w:ascii="Times New Roman" w:hAnsi="Times New Roman"/>
          <w:color w:val="000000"/>
          <w:sz w:val="24"/>
        </w:rPr>
        <w:t>. Under no circumstances shall the Company cause or request the offer or sale of any Shares if, after giving effect to the sale of such Shares, the aggregate amount of Shares sold pursuant to this Agreement would exceed the lesser of (A) together with all sales of Shares under this Agreement, the Maximum Amount and (B) the amount authorized from time to time to be issued and sold under this Agreement by the Board, a duly authorized committee thereof or a duly authorized executive committee, and notified to the Manager in writing.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Manager in writing. Further, under no circumstances shall the Company cause or permit the aggregate offering amount of Shares sold pursuant to this Agreement to exceed the Maximum Amount.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Regulation M Notice</w:t>
      </w:r>
      <w:r>
        <w:rPr>
          <w:rFonts w:ascii="Times New Roman" w:hAnsi="Times New Roman"/>
          <w:color w:val="000000"/>
          <w:sz w:val="24"/>
        </w:rPr>
        <w:t>. Unless the exceptive provisions set forth in Rule 101(c)(1) of Regulation M under the Exchange Act are satisfied with respect to the Shares, the Company shall give the Manager at least one (1) Business Day’s prior notice of its intent to sell any Shares in order to allow the Manager time to comply with Regulation 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Representations and Warranties</w:t>
      </w:r>
      <w:r>
        <w:rPr>
          <w:rFonts w:ascii="Times New Roman" w:hAnsi="Times New Roman"/>
          <w:color w:val="000000"/>
          <w:sz w:val="24"/>
        </w:rPr>
        <w:t>. The Company represents and warrants to, and agrees with, the Manager at the Execution Time and on each such time that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following representations and warranties are repeated or deemed to be made pursuant to this Agreement, as set forth below, except as set forth in the Registration Statement, the Prospectus or the Incorporated Documents.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Subsidiaries</w:t>
      </w:r>
      <w:r>
        <w:rPr>
          <w:rFonts w:ascii="Times New Roman" w:hAnsi="Times New Roman"/>
          <w:color w:val="000000"/>
          <w:sz w:val="24"/>
        </w:rPr>
        <w:t>. All of the direct and indirect subsidiaries (individually, a “</w:t>
      </w:r>
      <w:r>
        <w:rPr>
          <w:rFonts w:ascii="Times New Roman" w:hAnsi="Times New Roman"/>
          <w:color w:val="000000"/>
          <w:sz w:val="24"/>
          <w:u w:val="single"/>
        </w:rPr>
        <w:t>Subsidiary</w:t>
      </w:r>
      <w:r>
        <w:rPr>
          <w:color w:val="000000"/>
        </w:rPr>
        <w:t>”</w:t>
      </w:r>
      <w:r>
        <w:rPr>
          <w:rFonts w:ascii="Times New Roman" w:hAnsi="Times New Roman"/>
          <w:color w:val="000000"/>
          <w:sz w:val="24"/>
        </w:rPr>
        <w:t>) of the Company are set forth on Exhibit 21.1 to the Company’s most recent Annual Report on Form 10-K filed with the Commission. The Company owns, directly or indirectly, all of the capital stock or other equity interests of each Subsidiary free and clear of any “</w:t>
      </w:r>
      <w:r>
        <w:rPr>
          <w:rFonts w:ascii="Times New Roman" w:hAnsi="Times New Roman"/>
          <w:color w:val="000000"/>
          <w:sz w:val="24"/>
          <w:u w:val="single"/>
        </w:rPr>
        <w:t>Liens</w:t>
      </w:r>
      <w:r>
        <w:rPr>
          <w:color w:val="000000"/>
        </w:rPr>
        <w:t xml:space="preserve">” </w:t>
      </w:r>
      <w:r>
        <w:rPr>
          <w:rFonts w:ascii="Times New Roman" w:hAnsi="Times New Roman"/>
          <w:color w:val="000000"/>
          <w:sz w:val="24"/>
        </w:rPr>
        <w:t xml:space="preserve">(which for purposes of this Agreement shall mean a lien, charge, security interest, encumbrance, right of first refusal, preemptive right or other restriction), and all of the issued and outstanding shares of capital stock of each Subsidiary are validly issued and are fully paid, non-assessable and free of preemptive and similar rights to subscribe for or purchase securities.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Organization and Qualification</w:t>
      </w:r>
      <w:r>
        <w:rPr>
          <w:rFonts w:ascii="Times New Roman" w:hAnsi="Times New Roman"/>
          <w:color w:val="000000"/>
          <w:sz w:val="24"/>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is not in violation or default of any material provision of its certificate of incorporation or bylaws. Each of the Company and the Subsidiaries is duly qualified to conduct business and is in good standing in each applicable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 any Prospectus Supplement, the Prospectus or the Incorporated Documents, or (iii) a material adverse effect on the Company’s ability to perform in any material respect on a timely basis its obligations under this Agreement (any of (i), (ii) or (iii), a “</w:t>
      </w:r>
      <w:r>
        <w:rPr>
          <w:rFonts w:ascii="Times New Roman" w:hAnsi="Times New Roman"/>
          <w:color w:val="000000"/>
          <w:sz w:val="24"/>
          <w:u w:val="single"/>
        </w:rPr>
        <w:t>Material Adverse Effect</w:t>
      </w:r>
      <w:r>
        <w:rPr>
          <w:color w:val="000000"/>
        </w:rPr>
        <w:t>”</w:t>
      </w:r>
      <w:r>
        <w:rPr>
          <w:rFonts w:ascii="Times New Roman" w:hAnsi="Times New Roman"/>
          <w:color w:val="000000"/>
          <w:sz w:val="24"/>
        </w:rPr>
        <w:t>) and no “</w:t>
      </w:r>
      <w:r>
        <w:rPr>
          <w:rFonts w:ascii="Times New Roman" w:hAnsi="Times New Roman"/>
          <w:color w:val="000000"/>
          <w:sz w:val="24"/>
          <w:u w:val="single"/>
        </w:rPr>
        <w:t>Proceeding</w:t>
      </w:r>
      <w:r>
        <w:rPr>
          <w:color w:val="000000"/>
        </w:rPr>
        <w:t xml:space="preserve">” </w:t>
      </w:r>
      <w:r>
        <w:rPr>
          <w:rFonts w:ascii="Times New Roman" w:hAnsi="Times New Roman"/>
          <w:color w:val="000000"/>
          <w:sz w:val="24"/>
        </w:rPr>
        <w:t>(which for purposes of this Agreement shall mean any action, claim, suit, investigation or proceeding (including, without limitation, an informal investigation or partial proceeding, such as a deposition), whether commenced or, to the Company’s knowledge, threatened) has been instituted in any such jurisdiction revoking, limiting or curtailing or seeking to revoke, limit or curtail such power and authority or qualification.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Authorization and Enforcement</w:t>
      </w:r>
      <w:r>
        <w:rPr>
          <w:rFonts w:ascii="Times New Roman" w:hAnsi="Times New Roman"/>
          <w:color w:val="000000"/>
          <w:sz w:val="24"/>
        </w:rPr>
        <w:t xml:space="preserve">.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is required by the Company, the Board or the Company’s stockholders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No Conflicts</w:t>
      </w:r>
      <w:r>
        <w:rPr>
          <w:rFonts w:ascii="Times New Roman" w:hAnsi="Times New Roman"/>
          <w:color w:val="000000"/>
          <w:sz w:val="24"/>
        </w:rPr>
        <w:t>. The execution, delivery and performance by the Company of this Agreement, the issuance and sale of the Shares and the consummation by it of the transactions contemplated 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Filings, Consents and Approvals.</w:t>
      </w:r>
      <w:r>
        <w:rPr>
          <w:color w:val="000000"/>
        </w:rPr>
        <w:t xml:space="preserve"> </w:t>
      </w:r>
      <w:r>
        <w:rPr>
          <w:rFonts w:ascii="Times New Roman" w:hAnsi="Times New Roman"/>
          <w:color w:val="000000"/>
          <w:sz w:val="24"/>
        </w:rPr>
        <w:t xml:space="preserve">The Company is not required to obtain any consent, waiver, authorization or order of, give any notice to, or make any filing or registration with, any court or other federal, state, local or other governmental authority or other “Person”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(ii) the filing with the Commission of the Prospectus Supplement, (iii) the filing of notices and/or application(s) to and approval by the Trading Market for the listing of the Shares for trading thereon in the time and manner required thereby, and (iv) such filings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as are required to be made under applicable state securities laws and the rules and regulations of the Financial Industry Regulatory Authority, Inc. (“</w:t>
      </w:r>
      <w:r>
        <w:rPr>
          <w:rFonts w:ascii="Times New Roman" w:hAnsi="Times New Roman"/>
          <w:color w:val="000000"/>
          <w:sz w:val="24"/>
          <w:u w:val="single"/>
        </w:rPr>
        <w:t>FINRA</w:t>
      </w:r>
      <w:r>
        <w:rPr>
          <w:color w:val="000000"/>
        </w:rPr>
        <w:t>”</w:t>
      </w:r>
      <w:r>
        <w:rPr>
          <w:rFonts w:ascii="Times New Roman" w:hAnsi="Times New Roman"/>
          <w:color w:val="000000"/>
          <w:sz w:val="24"/>
        </w:rPr>
        <w:t>) (collectively, the “</w:t>
      </w:r>
      <w:r>
        <w:rPr>
          <w:rFonts w:ascii="Times New Roman" w:hAnsi="Times New Roman"/>
          <w:color w:val="000000"/>
          <w:sz w:val="24"/>
          <w:u w:val="single"/>
        </w:rPr>
        <w:t>Required Approvals</w:t>
      </w:r>
      <w:r>
        <w:rPr>
          <w:color w:val="000000"/>
        </w:rPr>
        <w:t>”</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color w:val="000000"/>
          <w:sz w:val="24"/>
          <w:u w:val="single"/>
        </w:rPr>
        <w:t>Issuance of Shares</w:t>
      </w:r>
      <w:r>
        <w:rPr>
          <w:rFonts w:ascii="Times New Roman" w:hAnsi="Times New Roman"/>
          <w:color w:val="000000"/>
          <w:sz w:val="24"/>
        </w:rPr>
        <w:t>. The Shares are duly authorized and, when issued and paid for in accordance with this Agreement, will be duly and validly issued, fully paid and nonassessable, free and clear of all Liens imposed by the Company. The issuance by the Company of the Shares has been registered under the Act and all of the Shares are freely transferable and tradable by the purchasers thereof without restriction (other than any restrictions arising solely from an act or omission of such a purchaser). The Shares are being issued pursuant to the Registration Statement and the issuance of the Shares has been registered by the Company under the Act. The “</w:t>
      </w:r>
      <w:r>
        <w:rPr>
          <w:rFonts w:ascii="Times New Roman" w:hAnsi="Times New Roman"/>
          <w:color w:val="000000"/>
          <w:sz w:val="24"/>
          <w:u w:val="single"/>
        </w:rPr>
        <w:t>Plan of Distribution</w:t>
      </w:r>
      <w:r>
        <w:rPr>
          <w:color w:val="000000"/>
        </w:rPr>
        <w:t xml:space="preserve">” </w:t>
      </w:r>
      <w:r>
        <w:rPr>
          <w:rFonts w:ascii="Times New Roman" w:hAnsi="Times New Roman"/>
          <w:color w:val="000000"/>
          <w:sz w:val="24"/>
        </w:rPr>
        <w:t>section within the Registration Statement permits the issuance and sale of the Shares as contemplated by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color w:val="000000"/>
          <w:sz w:val="24"/>
          <w:u w:val="single"/>
        </w:rPr>
        <w:t>Capitalization</w:t>
      </w:r>
      <w:r>
        <w:rPr>
          <w:rFonts w:ascii="Times New Roman" w:hAnsi="Times New Roman"/>
          <w:color w:val="000000"/>
          <w:sz w:val="24"/>
        </w:rPr>
        <w:t>. The capitalization of the Company is as set forth in the SEC Reports. Except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 and pursuant to the conversion and/or exercise of securities exercisable, exchangeable or convertible into Common Stock (“</w:t>
      </w:r>
      <w:r>
        <w:rPr>
          <w:rFonts w:ascii="Times New Roman" w:hAnsi="Times New Roman"/>
          <w:color w:val="000000"/>
          <w:sz w:val="24"/>
          <w:u w:val="single"/>
        </w:rPr>
        <w:t>Common Stock Equivalents</w:t>
      </w:r>
      <w:r>
        <w:rPr>
          <w:color w:val="000000"/>
        </w:rPr>
        <w:t>”</w:t>
      </w:r>
      <w:r>
        <w:rPr>
          <w:rFonts w:ascii="Times New Roman" w:hAnsi="Times New Roman"/>
          <w:color w:val="000000"/>
          <w:sz w:val="24"/>
        </w:rPr>
        <w:t xml:space="preserve">) outstanding as of the date of the most recently filed periodic report under the Exchange Act.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equity securities of the Company that contain any redemption or similar provisions, and there are no contracts, commitments, understandings or arrangements by which the Company is bound to redeem an equity security of the Company. The Company does not have any stock appreciation rights or “phantom stock” plans or agreements or any similar plan or agreement. All of the outstanding shares of capital stock of the Company are duly authorized, are validly issued, fully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paid and non-assessable, have been issued in compliance with applicable federal and state securities laws, and none of such outstanding shares was issued in violation of any preemptive rights or similar rights to subscribe for or purchase securities. No further approval or authorization of any stockholder, the Board or others is required for the issuance and sale of the Shares. Except as set forth in the SEC Reports,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rFonts w:ascii="Times New Roman" w:hAnsi="Times New Roman"/>
          <w:color w:val="000000"/>
          <w:sz w:val="24"/>
          <w:u w:val="single"/>
        </w:rPr>
        <w:t>Registration Statement</w:t>
      </w:r>
      <w:r>
        <w:rPr>
          <w:rFonts w:ascii="Times New Roman" w:hAnsi="Times New Roman"/>
          <w:color w:val="000000"/>
          <w:sz w:val="24"/>
        </w:rPr>
        <w:t>. The Company meets the requirements for use of Form S-3 under the Act and has prepared and filed with the Commission the Registration Statement, including a related Base Prospectus, for registration under the Act of the offering and sale of the Shares. Such Registration Statement is effective and available for the offer and sale of the Shares as of the date hereof. As filed, the Base Prospectus contains all information required by the Act and the rules thereunder. The Registration Statement, at the Execution Time, each such time this representation is repeated or deemed to be made, and at all times during which a prospectus is required by the Act to be delivered (whether physically or through compliance with Rule 172, 173 or any similar rule) in connection with any offer or sale of the Shares, meets the requirements set forth in Rule 415(a)(1)(x). The initial Effective Date of the Registration Statement was not earlier than the date three years before the Execution Time. The Company meets the transaction requirements as set forth in General Instruction I.B.1 of Form S-3 or, if applicable, as set forth in General Instruction I.B.6 of Form S-3 with respect to the aggregate market value of securities being sold pursuant to this offering and during the twelve (12) calendar months prior to such time that this representation is made or deemed to be made.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Accuracy of Incorporated Documents</w:t>
      </w:r>
      <w:r>
        <w:rPr>
          <w:rFonts w:ascii="Times New Roman" w:hAnsi="Times New Roman"/>
          <w:color w:val="000000"/>
          <w:sz w:val="24"/>
        </w:rPr>
        <w:t xml:space="preserve">.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Base Prospectus, the Prospectus Supplement or the Prospectus,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the light of the circumstances under which they were made, not misleading.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rFonts w:ascii="Times New Roman" w:hAnsi="Times New Roman"/>
          <w:color w:val="000000"/>
          <w:sz w:val="24"/>
          <w:u w:val="single"/>
        </w:rPr>
        <w:t>Ineligible Issuer</w:t>
      </w:r>
      <w:r>
        <w:rPr>
          <w:rFonts w:ascii="Times New Roman" w:hAnsi="Times New Roman"/>
          <w:color w:val="000000"/>
          <w:sz w:val="24"/>
        </w:rPr>
        <w:t xml:space="preserve">. (i) At the earliest time after the filing of the Registration Statement that the Company or another offering participant made a bona fide offer (within the meaning of Rule 164(h)(2)) of the Shares and (ii) as of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pPr>
      <w:r>
        <w:rPr>
          <w:rFonts w:ascii="Times New Roman" w:hAnsi="Times New Roman"/>
          <w:color w:val="000000"/>
          <w:sz w:val="24"/>
          <w:u w:val="single"/>
        </w:rPr>
        <w:t>Free Writing Prospectus</w:t>
      </w:r>
      <w:r>
        <w:rPr>
          <w:rFonts w:ascii="Times New Roman" w:hAnsi="Times New Roman"/>
          <w:color w:val="000000"/>
          <w:sz w:val="24"/>
        </w:rPr>
        <w:t>. The Company is eligible to use Issuer Free Writing Prospectuses. Each Issuer Free Writing Prospectus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Manager specifically for use therein. Any Issuer Free Writing Prospectus that the Company is required to file pursuant to Rule 433(d) has been, or will be, filed with the Commission in accordance with the requirements of the Act and the rules thereunder. Each Issuer Free Writing Prospectus that the Company has filed, or is required to file, pursuant to Rule 433(d) or that was prepared by or behalf of or used by the Company complies or will comply in all material respects with the requirements of the Act and the rules thereunder. The Company will not, without the prior consent of the Manager, prepare, use or refer to, any Issuer Free Writing Prospectuses.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pPr>
      <w:r>
        <w:rPr>
          <w:rFonts w:ascii="Times New Roman" w:hAnsi="Times New Roman"/>
          <w:color w:val="000000"/>
          <w:sz w:val="24"/>
          <w:u w:val="single"/>
        </w:rPr>
        <w:t>Proceedings Related to Registration Statement</w:t>
      </w:r>
      <w:r>
        <w:rPr>
          <w:rFonts w:ascii="Times New Roman" w:hAnsi="Times New Roman"/>
          <w:color w:val="000000"/>
          <w:sz w:val="24"/>
        </w:rPr>
        <w:t xml:space="preserve">. To the knowledge of the Company,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intends or has threatened in writing to do so.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w:t>
      </w:r>
    </w:p>
    <w:p>
      <w:pPr>
        <w:pStyle w:val="TextBody"/>
        <w:bidi w:val="0"/>
        <w:jc w:val="both"/>
        <w:rPr/>
      </w:pPr>
      <w:r>
        <w:rPr>
          <w:rFonts w:ascii="Times New Roman" w:hAnsi="Times New Roman"/>
          <w:color w:val="000000"/>
          <w:sz w:val="24"/>
          <w:u w:val="single"/>
        </w:rPr>
        <w:t>SEC Reports</w:t>
      </w:r>
      <w:r>
        <w:rPr>
          <w:rFonts w:ascii="Times New Roman" w:hAnsi="Times New Roman"/>
          <w:color w:val="000000"/>
          <w:sz w:val="24"/>
        </w:rPr>
        <w:t>. The Company has filed all reports, schedules, forms, statements and other documents required to be filed by the Company under the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hAnsi="Times New Roman"/>
          <w:color w:val="000000"/>
          <w:sz w:val="24"/>
          <w:u w:val="single"/>
        </w:rPr>
        <w:t>SEC Reports</w:t>
      </w:r>
      <w:r>
        <w:rPr>
          <w:color w:val="000000"/>
        </w:rPr>
        <w:t>”</w:t>
      </w:r>
      <w:r>
        <w:rPr>
          <w:rFonts w:ascii="Times New Roman" w:hAnsi="Times New Roman"/>
          <w:color w:val="000000"/>
          <w:sz w:val="24"/>
        </w:rPr>
        <w:t xml:space="preserve">). As of their respective dates, the SEC Reports complied in all material respects with the requirements of the Act and the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color w:val="000000"/>
          <w:sz w:val="24"/>
          <w:u w:val="single"/>
        </w:rPr>
        <w:t>GAAP</w:t>
      </w:r>
      <w:r>
        <w:rPr>
          <w:color w:val="000000"/>
        </w:rPr>
        <w:t>”</w:t>
      </w:r>
      <w:r>
        <w:rPr>
          <w:rFonts w:ascii="Times New Roman" w:hAnsi="Times New Roman"/>
          <w:color w:val="000000"/>
          <w:sz w:val="24"/>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w:t>
      </w:r>
    </w:p>
    <w:p>
      <w:pPr>
        <w:pStyle w:val="TextBody"/>
        <w:bidi w:val="0"/>
        <w:jc w:val="both"/>
        <w:rPr>
          <w:rFonts w:ascii="Times New Roman" w:hAnsi="Times New Roman"/>
          <w:color w:val="000000"/>
          <w:sz w:val="24"/>
        </w:rPr>
      </w:pPr>
      <w:r>
        <w:rPr>
          <w:rFonts w:ascii="Times New Roman" w:hAnsi="Times New Roman"/>
          <w:color w:val="000000"/>
          <w:sz w:val="24"/>
        </w:rPr>
        <w:t>[RESERVED]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jc w:val="both"/>
        <w:rPr/>
      </w:pPr>
      <w:r>
        <w:rPr>
          <w:rFonts w:ascii="Times New Roman" w:hAnsi="Times New Roman"/>
          <w:color w:val="000000"/>
          <w:sz w:val="24"/>
          <w:u w:val="single"/>
        </w:rPr>
        <w:t>Material Changes; Undisclosed Events, Liabilities or Developments</w:t>
      </w:r>
      <w:r>
        <w:rPr>
          <w:rFonts w:ascii="Times New Roman" w:hAnsi="Times New Roman"/>
          <w:color w:val="000000"/>
          <w:sz w:val="24"/>
        </w:rPr>
        <w:t>. Since the date of the latest audited financial statements included within the SEC Reports, except as disclosed in a subsequent SEC Report filed prior to the date on which this representation is being made,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 xml:space="preserve">(defined as any Person that, directly or indirectly through one or more intermediaries, controls or is controlled by or is under common control with a Person, as such terms are used in and construed under Rule 144 under the Act), except pursuant to existing Company stock option or equity incentive plans, and (vi) no executive officer of the Company or member of the Board has resigned from any position with the Company.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made or deemed made that has not been publicly disclosed prior to the date that this representation is made.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(p)</w:t>
      </w:r>
    </w:p>
    <w:p>
      <w:pPr>
        <w:pStyle w:val="TextBody"/>
        <w:bidi w:val="0"/>
        <w:jc w:val="both"/>
        <w:rPr/>
      </w:pPr>
      <w:r>
        <w:rPr>
          <w:rFonts w:ascii="Times New Roman" w:hAnsi="Times New Roman"/>
          <w:color w:val="000000"/>
          <w:sz w:val="24"/>
          <w:u w:val="single"/>
        </w:rPr>
        <w:t>Litigation</w:t>
      </w:r>
      <w:r>
        <w:rPr>
          <w:rFonts w:ascii="Times New Roman" w:hAnsi="Times New Roman"/>
          <w:color w:val="000000"/>
          <w:sz w:val="24"/>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hAnsi="Times New Roman"/>
          <w:color w:val="000000"/>
          <w:sz w:val="24"/>
          <w:u w:val="single"/>
        </w:rPr>
        <w:t>Action</w:t>
      </w:r>
      <w:r>
        <w:rPr>
          <w:color w:val="000000"/>
        </w:rPr>
        <w:t>”</w:t>
      </w:r>
      <w:r>
        <w:rPr>
          <w:rFonts w:ascii="Times New Roman" w:hAnsi="Times New Roman"/>
          <w:color w:val="000000"/>
          <w:sz w:val="24"/>
        </w:rPr>
        <w:t>). None of the Actions set forth in the SEC Reports, (i) adversely affects or challenges the legality, validity or enforceability of this Agreement or the Shares or (ii) could, if there were an unfavorable decision, have or reasonably be expected to result in a Material Adverse Effect. Neither the Company nor any Subsidiary, nor, to the knowledge of the Company,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Act.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(q)</w:t>
      </w:r>
    </w:p>
    <w:p>
      <w:pPr>
        <w:pStyle w:val="TextBody"/>
        <w:bidi w:val="0"/>
        <w:jc w:val="both"/>
        <w:rPr/>
      </w:pPr>
      <w:r>
        <w:rPr>
          <w:rFonts w:ascii="Times New Roman" w:hAnsi="Times New Roman"/>
          <w:color w:val="000000"/>
          <w:sz w:val="24"/>
          <w:u w:val="single"/>
        </w:rPr>
        <w:t>Labor Relations</w:t>
      </w:r>
      <w:r>
        <w:rPr>
          <w:rFonts w:ascii="Times New Roman" w:hAnsi="Times New Roman"/>
          <w:color w:val="000000"/>
          <w:sz w:val="24"/>
        </w:rPr>
        <w:t>. No material labor dispute exists or, to the knowledge of the Company, is imminent with respect to any of the employees of the Company, which could reasonably be expected to result in a Material Adverse Effect.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material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(r)</w:t>
      </w:r>
    </w:p>
    <w:p>
      <w:pPr>
        <w:pStyle w:val="TextBody"/>
        <w:bidi w:val="0"/>
        <w:jc w:val="both"/>
        <w:rPr/>
      </w:pPr>
      <w:r>
        <w:rPr>
          <w:rFonts w:ascii="Times New Roman" w:hAnsi="Times New Roman"/>
          <w:color w:val="000000"/>
          <w:sz w:val="24"/>
          <w:u w:val="single"/>
        </w:rPr>
        <w:t>Compliance</w:t>
      </w:r>
      <w:r>
        <w:rPr>
          <w:rFonts w:ascii="Times New Roman" w:hAnsi="Times New Roman"/>
          <w:color w:val="000000"/>
          <w:sz w:val="24"/>
        </w:rPr>
        <w:t xml:space="preserv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w:t>
      </w:r>
    </w:p>
    <w:p>
      <w:pPr>
        <w:pStyle w:val="TextBody"/>
        <w:bidi w:val="0"/>
        <w:jc w:val="both"/>
        <w:rPr/>
      </w:pPr>
      <w:r>
        <w:rPr>
          <w:rFonts w:ascii="Times New Roman" w:hAnsi="Times New Roman"/>
          <w:color w:val="000000"/>
          <w:sz w:val="24"/>
          <w:u w:val="single"/>
        </w:rPr>
        <w:t>Environmental Laws</w:t>
      </w:r>
      <w:r>
        <w:rPr>
          <w:rFonts w:ascii="Times New Roman" w:hAnsi="Times New Roman"/>
          <w:color w:val="000000"/>
          <w:sz w:val="24"/>
        </w:rPr>
        <w:t>. The Company and its Subsidiaries (i) are in material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color w:val="000000"/>
          <w:sz w:val="24"/>
          <w:u w:val="single"/>
        </w:rPr>
        <w:t>Hazardous Materials</w:t>
      </w:r>
      <w:r>
        <w:rPr>
          <w:color w:val="000000"/>
        </w:rPr>
        <w:t>”</w:t>
      </w:r>
      <w:r>
        <w:rPr>
          <w:rFonts w:ascii="Times New Roman" w:hAnsi="Times New Roman"/>
          <w:color w:val="000000"/>
          <w:sz w:val="24"/>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color w:val="000000"/>
          <w:sz w:val="24"/>
          <w:u w:val="single"/>
        </w:rPr>
        <w:t>Environmental Laws</w:t>
      </w:r>
      <w:r>
        <w:rPr>
          <w:color w:val="000000"/>
        </w:rPr>
        <w:t>”</w:t>
      </w:r>
      <w:r>
        <w:rPr>
          <w:rFonts w:ascii="Times New Roman" w:hAnsi="Times New Roman"/>
          <w:color w:val="000000"/>
          <w:sz w:val="24"/>
        </w:rPr>
        <w:t>); (ii) have received all material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w:t>
      </w:r>
    </w:p>
    <w:p>
      <w:pPr>
        <w:pStyle w:val="TextBody"/>
        <w:bidi w:val="0"/>
        <w:jc w:val="both"/>
        <w:rPr/>
      </w:pPr>
      <w:r>
        <w:rPr>
          <w:rFonts w:ascii="Times New Roman" w:hAnsi="Times New Roman"/>
          <w:color w:val="000000"/>
          <w:sz w:val="24"/>
          <w:u w:val="single"/>
        </w:rPr>
        <w:t>Regulatory Permits</w:t>
      </w:r>
      <w:r>
        <w:rPr>
          <w:rFonts w:ascii="Times New Roman" w:hAnsi="Times New Roman"/>
          <w:color w:val="000000"/>
          <w:sz w:val="24"/>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color w:val="000000"/>
          <w:sz w:val="24"/>
          <w:u w:val="single"/>
        </w:rPr>
        <w:t>Material Permits</w:t>
      </w:r>
      <w:r>
        <w:rPr>
          <w:color w:val="000000"/>
        </w:rPr>
        <w:t>”</w:t>
      </w:r>
      <w:r>
        <w:rPr>
          <w:rFonts w:ascii="Times New Roman" w:hAnsi="Times New Roman"/>
          <w:color w:val="000000"/>
          <w:sz w:val="24"/>
        </w:rPr>
        <w:t>), and, to the Company’s knowledge, neither the Company nor any Subsidiary has received any notice of proceedings relating to the revocation or modification of any Material Permit.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(u)</w:t>
      </w:r>
    </w:p>
    <w:p>
      <w:pPr>
        <w:pStyle w:val="TextBody"/>
        <w:bidi w:val="0"/>
        <w:jc w:val="both"/>
        <w:rPr/>
      </w:pPr>
      <w:r>
        <w:rPr>
          <w:rFonts w:ascii="Times New Roman" w:hAnsi="Times New Roman"/>
          <w:color w:val="000000"/>
          <w:sz w:val="24"/>
          <w:u w:val="single"/>
        </w:rPr>
        <w:t>Title to Assets</w:t>
      </w:r>
      <w:r>
        <w:rPr>
          <w:rFonts w:ascii="Times New Roman" w:hAnsi="Times New Roman"/>
          <w:color w:val="000000"/>
          <w:sz w:val="24"/>
        </w:rPr>
        <w:t xml:space="preserve">. The Company and the Subsidiaries have good and marketable title in fee simple to all real property owned by them that is material to the business of the Company and its Subsidiaries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Except where failure to be in compliance would not reasonably be expected to have a Material Adverse Effect, any real property and facilities held under lease by the Company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and the Subsidiaries are held by them under valid, subsisting and enforceable leases with which the Company and the Subsidiaries are in compliance.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w:t>
      </w:r>
    </w:p>
    <w:p>
      <w:pPr>
        <w:pStyle w:val="TextBody"/>
        <w:bidi w:val="0"/>
        <w:jc w:val="both"/>
        <w:rPr/>
      </w:pPr>
      <w:r>
        <w:rPr>
          <w:rFonts w:ascii="Times New Roman" w:hAnsi="Times New Roman"/>
          <w:color w:val="000000"/>
          <w:sz w:val="24"/>
          <w:u w:val="single"/>
        </w:rPr>
        <w:t>Intellectual Property</w:t>
      </w:r>
      <w:r>
        <w:rPr>
          <w:rFonts w:ascii="Times New Roman" w:hAnsi="Times New Roman"/>
          <w:color w:val="000000"/>
          <w:sz w:val="24"/>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hAnsi="Times New Roman"/>
          <w:color w:val="000000"/>
          <w:sz w:val="24"/>
          <w:u w:val="single"/>
        </w:rPr>
        <w:t>Intellectual Property Rights</w:t>
      </w:r>
      <w:r>
        <w:rPr>
          <w:color w:val="000000"/>
        </w:rPr>
        <w:t>”</w:t>
      </w:r>
      <w:r>
        <w:rPr>
          <w:rFonts w:ascii="Times New Roman" w:hAnsi="Times New Roman"/>
          <w:color w:val="000000"/>
          <w:sz w:val="24"/>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To the Company’s knowledge,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Intellectual Property Rights are enforceable and there is no existing infringement by another Person of any of the Intellectual Property Rights which could reasonably be expected to result in a Material Adverse Effect. The Company and its Subsidiaries have taken commercially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w:t>
      </w:r>
    </w:p>
    <w:p>
      <w:pPr>
        <w:pStyle w:val="TextBody"/>
        <w:bidi w:val="0"/>
        <w:jc w:val="both"/>
        <w:rPr/>
      </w:pPr>
      <w:r>
        <w:rPr>
          <w:rFonts w:ascii="Times New Roman" w:hAnsi="Times New Roman"/>
          <w:color w:val="000000"/>
          <w:sz w:val="24"/>
          <w:u w:val="single"/>
        </w:rPr>
        <w:t>Insurance</w:t>
      </w:r>
      <w:r>
        <w:rPr>
          <w:rFonts w:ascii="Times New Roman" w:hAnsi="Times New Roman"/>
          <w:color w:val="000000"/>
          <w:sz w:val="24"/>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(x)</w:t>
      </w:r>
    </w:p>
    <w:p>
      <w:pPr>
        <w:pStyle w:val="TextBody"/>
        <w:bidi w:val="0"/>
        <w:jc w:val="both"/>
        <w:rPr/>
      </w:pPr>
      <w:r>
        <w:rPr>
          <w:rFonts w:ascii="Times New Roman" w:hAnsi="Times New Roman"/>
          <w:color w:val="000000"/>
          <w:sz w:val="24"/>
          <w:u w:val="single"/>
        </w:rPr>
        <w:t>Affiliate Transactions</w:t>
      </w:r>
      <w:r>
        <w:rPr>
          <w:rFonts w:ascii="Times New Roman" w:hAnsi="Times New Roman"/>
          <w:color w:val="000000"/>
          <w:sz w:val="24"/>
        </w:rPr>
        <w:t xml:space="preserve">.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and other award agreements under any stock option or equity incentive plan of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(y)</w:t>
      </w:r>
    </w:p>
    <w:p>
      <w:pPr>
        <w:pStyle w:val="TextBody"/>
        <w:bidi w:val="0"/>
        <w:jc w:val="both"/>
        <w:rPr/>
      </w:pPr>
      <w:r>
        <w:rPr>
          <w:rFonts w:ascii="Times New Roman" w:hAnsi="Times New Roman"/>
          <w:color w:val="000000"/>
          <w:sz w:val="24"/>
          <w:u w:val="single"/>
        </w:rPr>
        <w:t>Sarbanes Oxley Compliance</w:t>
      </w:r>
      <w:r>
        <w:rPr>
          <w:rFonts w:ascii="Times New Roman" w:hAnsi="Times New Roman"/>
          <w:color w:val="000000"/>
          <w:sz w:val="24"/>
        </w:rPr>
        <w:t>. The Company and the Subsidiaries are in material compliance with the applicable requirements of the Sarbanes-Oxley Act of 2002, as amended, that are effective as of the date hereof, and any and all applicable rules and regulations promulgated by the Commission thereunder that are effective as of the date hereof.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color w:val="000000"/>
          <w:sz w:val="24"/>
          <w:u w:val="single"/>
        </w:rPr>
        <w:t>Evaluation Date</w:t>
      </w:r>
      <w:r>
        <w:rPr>
          <w:color w:val="000000"/>
        </w:rPr>
        <w:t>”</w:t>
      </w:r>
      <w:r>
        <w:rPr>
          <w:rFonts w:ascii="Times New Roman" w:hAnsi="Times New Roman"/>
          <w:color w:val="000000"/>
          <w:sz w:val="24"/>
        </w:rPr>
        <w:t xml:space="preserve">). The Company presented in its most recently filed periodic report under the Exchange Act the conclusions of the certifying officers about the effectiveness of the disclosure controls and procedures based on their evaluations as of the Evaluation Date.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(z)</w:t>
      </w:r>
    </w:p>
    <w:p>
      <w:pPr>
        <w:pStyle w:val="TextBody"/>
        <w:bidi w:val="0"/>
        <w:jc w:val="both"/>
        <w:rPr/>
      </w:pPr>
      <w:r>
        <w:rPr>
          <w:rFonts w:ascii="Times New Roman" w:hAnsi="Times New Roman"/>
          <w:color w:val="000000"/>
          <w:sz w:val="24"/>
          <w:u w:val="single"/>
        </w:rPr>
        <w:t>Certain Fees</w:t>
      </w:r>
      <w:r>
        <w:rPr>
          <w:rFonts w:ascii="Times New Roman" w:hAnsi="Times New Roman"/>
          <w:color w:val="000000"/>
          <w:sz w:val="24"/>
        </w:rPr>
        <w:t>. Other than payments to be made to the Manager, no brokerage or finder’s fees or commissions are or will be payable by the Company or any Subsidiary to any broker, financial advisor or consultant, finder, placement agent, investment banker, bank or other Person with respect to the transactions contemplated by this Agreement. The Manager shall have no obligation with respect to any fees or with respect to any claims made by or on behalf of other Persons for fees of a type contemplated in this Section that may be due in connection with the transactions contemplated by this Agreement.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(aa)</w:t>
      </w:r>
    </w:p>
    <w:p>
      <w:pPr>
        <w:pStyle w:val="TextBody"/>
        <w:bidi w:val="0"/>
        <w:jc w:val="both"/>
        <w:rPr/>
      </w:pPr>
      <w:r>
        <w:rPr>
          <w:rFonts w:ascii="Times New Roman" w:hAnsi="Times New Roman"/>
          <w:color w:val="000000"/>
          <w:sz w:val="24"/>
          <w:u w:val="single"/>
        </w:rPr>
        <w:t>No Other Sales Agency Agreement</w:t>
      </w:r>
      <w:r>
        <w:rPr>
          <w:rFonts w:ascii="Times New Roman" w:hAnsi="Times New Roman"/>
          <w:color w:val="000000"/>
          <w:sz w:val="24"/>
        </w:rPr>
        <w:t>. The Company has not entered into any other sales agency agreements or other similar arrangements with any agent or any other representative in respect of at the market offerings of the Shares.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(bb)</w:t>
      </w:r>
    </w:p>
    <w:p>
      <w:pPr>
        <w:pStyle w:val="TextBody"/>
        <w:bidi w:val="0"/>
        <w:jc w:val="both"/>
        <w:rPr/>
      </w:pPr>
      <w:r>
        <w:rPr>
          <w:rFonts w:ascii="Times New Roman" w:hAnsi="Times New Roman"/>
          <w:color w:val="000000"/>
          <w:sz w:val="24"/>
          <w:u w:val="single"/>
        </w:rPr>
        <w:t>Investment Company</w:t>
      </w:r>
      <w:r>
        <w:rPr>
          <w:rFonts w:ascii="Times New Roman" w:hAnsi="Times New Roman"/>
          <w:color w:val="000000"/>
          <w:sz w:val="24"/>
        </w:rPr>
        <w:t>. The Company is not, and is not an Affiliate of, and immediately after receipt of payment for the Shares from the Manager pursuant to this Agreement,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 The Company shall conduct its business in a manner so as to reasonably ensure that it or its Subsidiaries will not become an “investment company” subject to registration under the Investment Company Act of 1940, as amended.</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(cc)</w:t>
      </w:r>
    </w:p>
    <w:p>
      <w:pPr>
        <w:pStyle w:val="TextBody"/>
        <w:bidi w:val="0"/>
        <w:jc w:val="both"/>
        <w:rPr/>
      </w:pPr>
      <w:r>
        <w:rPr>
          <w:rFonts w:ascii="Times New Roman" w:hAnsi="Times New Roman"/>
          <w:color w:val="000000"/>
          <w:sz w:val="24"/>
          <w:u w:val="single"/>
        </w:rPr>
        <w:t>Listing and Maintenance Requirements</w:t>
      </w:r>
      <w:r>
        <w:rPr>
          <w:rFonts w:ascii="Times New Roman" w:hAnsi="Times New Roman"/>
          <w:color w:val="000000"/>
          <w:sz w:val="24"/>
        </w:rPr>
        <w:t>. The Common Stock is listed on the Trading Market and the issuance of the Shares as contemplated by this Agreement does not contravene the rules and regulations of the Trading Market.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the Trading Market on which the Common Stock is listed or quoted to the effect that the Company is not in compliance with the listing or maintenance requirements of the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(dd)</w:t>
      </w:r>
    </w:p>
    <w:p>
      <w:pPr>
        <w:pStyle w:val="TextBody"/>
        <w:bidi w:val="0"/>
        <w:jc w:val="both"/>
        <w:rPr/>
      </w:pPr>
      <w:r>
        <w:rPr>
          <w:rFonts w:ascii="Times New Roman" w:hAnsi="Times New Roman"/>
          <w:color w:val="000000"/>
          <w:sz w:val="24"/>
          <w:u w:val="single"/>
        </w:rPr>
        <w:t>Solvency</w:t>
      </w:r>
      <w:r>
        <w:rPr>
          <w:rFonts w:ascii="Times New Roman" w:hAnsi="Times New Roman"/>
          <w:color w:val="000000"/>
          <w:sz w:val="24"/>
        </w:rPr>
        <w:t xml:space="preserve">. Except as disclosed in the SEC Reports,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or in respect of its liabilities when such amounts are required to be paid. The Company does not intend to incur debts beyond its ability to pay such debts as they mature (taking into account the timing and amounts of cash to be payable on or in respect of its debt) within one year from the date hereof. The Company has no knowledge of any facts or circumstances which lead it to believe that it will file for reorganization or liquidation under the bankruptcy or reorganization laws of any jurisdiction within one year from the date hereof. The SEC Reports set forth as of the date hereof all outstanding secured and unsecured Indebtedness of the Company or any Subsidiary, or for which the Company or any Subsidiary has commitments. For the purposes of this Agreement, “</w:t>
      </w:r>
      <w:r>
        <w:rPr>
          <w:rFonts w:ascii="Times New Roman" w:hAnsi="Times New Roman"/>
          <w:color w:val="000000"/>
          <w:sz w:val="24"/>
          <w:u w:val="single"/>
        </w:rPr>
        <w:t>Indebtedness</w:t>
      </w:r>
      <w:r>
        <w:rPr>
          <w:color w:val="000000"/>
        </w:rPr>
        <w:t xml:space="preserve">” </w:t>
      </w:r>
      <w:r>
        <w:rPr>
          <w:rFonts w:ascii="Times New Roman" w:hAnsi="Times New Roman"/>
          <w:color w:val="000000"/>
          <w:sz w:val="24"/>
        </w:rPr>
        <w:t>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 that would reasonably be expected to result in a Material Adverse Effect.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(ee)</w:t>
      </w:r>
    </w:p>
    <w:p>
      <w:pPr>
        <w:pStyle w:val="TextBody"/>
        <w:bidi w:val="0"/>
        <w:jc w:val="both"/>
        <w:rPr/>
      </w:pPr>
      <w:r>
        <w:rPr>
          <w:rFonts w:ascii="Times New Roman" w:hAnsi="Times New Roman"/>
          <w:color w:val="000000"/>
          <w:sz w:val="24"/>
          <w:u w:val="single"/>
        </w:rPr>
        <w:t>Tax Status</w:t>
      </w:r>
      <w:r>
        <w:rPr>
          <w:rFonts w:ascii="Times New Roman" w:hAnsi="Times New Roman"/>
          <w:color w:val="000000"/>
          <w:sz w:val="24"/>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(ff)</w:t>
      </w:r>
    </w:p>
    <w:p>
      <w:pPr>
        <w:pStyle w:val="TextBody"/>
        <w:bidi w:val="0"/>
        <w:jc w:val="both"/>
        <w:rPr/>
      </w:pPr>
      <w:r>
        <w:rPr>
          <w:rFonts w:ascii="Times New Roman" w:hAnsi="Times New Roman"/>
          <w:color w:val="000000"/>
          <w:sz w:val="24"/>
          <w:u w:val="single"/>
        </w:rPr>
        <w:t>Foreign Corrupt Practices</w:t>
      </w:r>
      <w:r>
        <w:rPr>
          <w:rFonts w:ascii="Times New Roman" w:hAnsi="Times New Roman"/>
          <w:color w:val="000000"/>
          <w:sz w:val="24"/>
        </w:rPr>
        <w:t>. To the knowledge of the Company, neither the Company, the Subsidiaries nor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(gg)</w:t>
      </w:r>
    </w:p>
    <w:p>
      <w:pPr>
        <w:pStyle w:val="TextBody"/>
        <w:bidi w:val="0"/>
        <w:jc w:val="both"/>
        <w:rPr/>
      </w:pPr>
      <w:r>
        <w:rPr>
          <w:rFonts w:ascii="Times New Roman" w:hAnsi="Times New Roman"/>
          <w:color w:val="000000"/>
          <w:sz w:val="24"/>
          <w:u w:val="single"/>
        </w:rPr>
        <w:t>Accountants</w:t>
      </w:r>
      <w:r>
        <w:rPr>
          <w:rFonts w:ascii="Times New Roman" w:hAnsi="Times New Roman"/>
          <w:color w:val="000000"/>
          <w:sz w:val="24"/>
        </w:rPr>
        <w:t>. The Company’s accounting firm is set forth in the SEC Reports. To the knowledge and belief of the Company, such accounting firm is a registered public accounting firm as required by the Exchange Act.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(hh)</w:t>
      </w:r>
    </w:p>
    <w:p>
      <w:pPr>
        <w:pStyle w:val="TextBody"/>
        <w:bidi w:val="0"/>
        <w:jc w:val="both"/>
        <w:rPr/>
      </w:pPr>
      <w:r>
        <w:rPr>
          <w:rFonts w:ascii="Times New Roman" w:hAnsi="Times New Roman"/>
          <w:color w:val="000000"/>
          <w:sz w:val="24"/>
          <w:u w:val="single"/>
        </w:rPr>
        <w:t>Regulation M Compliance</w:t>
      </w:r>
      <w:r>
        <w:rPr>
          <w:rFonts w:ascii="Times New Roman" w:hAnsi="Times New Roman"/>
          <w:color w:val="000000"/>
          <w:sz w:val="24"/>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Manager in connection with the Shares.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pPr>
      <w:r>
        <w:rPr>
          <w:rFonts w:ascii="Times New Roman" w:hAnsi="Times New Roman"/>
          <w:color w:val="000000"/>
          <w:sz w:val="24"/>
          <w:u w:val="single"/>
        </w:rPr>
        <w:t>Regulatory Compliance</w:t>
      </w:r>
      <w:r>
        <w:rPr>
          <w:rFonts w:ascii="Times New Roman" w:hAnsi="Times New Roman"/>
          <w:color w:val="000000"/>
          <w:sz w:val="24"/>
        </w:rPr>
        <w:t>. The Company is in compliance with all applicable requirements under all laws, regulations and rules relating to their business, except where the failure to be in compliance would not have a Material Adverse Effect. Except as set forth in the SEC Reports,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any other governmental entity, which pertains to the regulation of the Company’s business, which, either individually or in the aggregate, would have a Material Adverse Effect.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(jj)</w:t>
      </w:r>
    </w:p>
    <w:p>
      <w:pPr>
        <w:pStyle w:val="TextBody"/>
        <w:bidi w:val="0"/>
        <w:jc w:val="both"/>
        <w:rPr/>
      </w:pPr>
      <w:r>
        <w:rPr>
          <w:rFonts w:ascii="Times New Roman" w:hAnsi="Times New Roman"/>
          <w:color w:val="000000"/>
          <w:sz w:val="24"/>
          <w:u w:val="single"/>
        </w:rPr>
        <w:t>Cybersecurity</w:t>
      </w:r>
      <w:r>
        <w:rPr>
          <w:rFonts w:ascii="Times New Roman" w:hAnsi="Times New Roman"/>
          <w:color w:val="000000"/>
          <w:sz w:val="24"/>
        </w:rPr>
        <w:t>. (i)(x) To the Company’s knowledge, there has been no material security breach or other material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color w:val="000000"/>
          <w:sz w:val="24"/>
          <w:u w:val="single"/>
        </w:rPr>
        <w:t>IT Systems and Data</w:t>
      </w:r>
      <w:r>
        <w:rPr>
          <w:color w:val="000000"/>
        </w:rPr>
        <w:t>”</w:t>
      </w:r>
      <w:r>
        <w:rPr>
          <w:rFonts w:ascii="Times New Roman" w:hAnsi="Times New Roman"/>
          <w:color w:val="000000"/>
          <w:sz w:val="24"/>
        </w:rPr>
        <w:t xml:space="preserve">) and (y) the Company and the Subsidiaries have not been notified of, and has no knowledge of any event or condition that would reasonably be expected to result in, any material security breach or other material compromise to its IT Systems and Data; (ii)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take commercially reasonable efforts to maintain and protect its material confidential information and the integrity, continuous operation, redundancy and security of all IT Systems and Data; and (iv) the Company and the Subsidiaries have implemented commercially reasonable backup and disaster recovery </w:t>
      </w:r>
    </w:p>
    <w:p>
      <w:pPr>
        <w:pStyle w:val="TextBody"/>
        <w:bidi w:val="0"/>
        <w:jc w:val="left"/>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technology consistent with industry standards and practices, except where the failure to do so would not have a Material Adverse Effect.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(kk)</w:t>
      </w:r>
    </w:p>
    <w:p>
      <w:pPr>
        <w:pStyle w:val="TextBody"/>
        <w:bidi w:val="0"/>
        <w:jc w:val="both"/>
        <w:rPr/>
      </w:pPr>
      <w:r>
        <w:rPr>
          <w:rFonts w:ascii="Times New Roman" w:hAnsi="Times New Roman"/>
          <w:color w:val="000000"/>
          <w:sz w:val="24"/>
          <w:u w:val="single"/>
        </w:rPr>
        <w:t>Compliance with Data Privacy Laws</w:t>
      </w:r>
      <w:r>
        <w:rPr>
          <w:rFonts w:ascii="Times New Roman" w:hAnsi="Times New Roman"/>
          <w:color w:val="000000"/>
          <w:sz w:val="24"/>
        </w:rPr>
        <w:t>. (i) The Company and the Subsidiaries are, and at all times during the past three years were, in material compliance with all applicable data privacy and security laws and regulations, including, to the extent applicable, the European Union General Data Protection Regulation (“</w:t>
      </w:r>
      <w:r>
        <w:rPr>
          <w:rFonts w:ascii="Times New Roman" w:hAnsi="Times New Roman"/>
          <w:color w:val="000000"/>
          <w:sz w:val="24"/>
          <w:u w:val="single"/>
        </w:rPr>
        <w:t>GDPR</w:t>
      </w:r>
      <w:r>
        <w:rPr>
          <w:color w:val="000000"/>
        </w:rPr>
        <w:t>”</w:t>
      </w:r>
      <w:r>
        <w:rPr>
          <w:rFonts w:ascii="Times New Roman" w:hAnsi="Times New Roman"/>
          <w:color w:val="000000"/>
          <w:sz w:val="24"/>
        </w:rPr>
        <w:t>) (EU 2016/679) (collectively, “</w:t>
      </w:r>
      <w:r>
        <w:rPr>
          <w:rFonts w:ascii="Times New Roman" w:hAnsi="Times New Roman"/>
          <w:color w:val="000000"/>
          <w:sz w:val="24"/>
          <w:u w:val="single"/>
        </w:rPr>
        <w:t>Privacy Laws</w:t>
      </w:r>
      <w:r>
        <w:rPr>
          <w:color w:val="000000"/>
        </w:rPr>
        <w:t>”</w:t>
      </w:r>
      <w:r>
        <w:rPr>
          <w:rFonts w:ascii="Times New Roman" w:hAnsi="Times New Roman"/>
          <w:color w:val="000000"/>
          <w:sz w:val="24"/>
        </w:rPr>
        <w:t>); (ii) the Company and the Subsidiaries have in place, comply in all material respects with, and take commercially appropriate steps reasonably designed to ensure material compliance with their policies and procedures relating to data privacy and security and the collection, storage, use, disclosure, handling and analysis of Personal Data (the “</w:t>
      </w:r>
      <w:r>
        <w:rPr>
          <w:rFonts w:ascii="Times New Roman" w:hAnsi="Times New Roman"/>
          <w:color w:val="000000"/>
          <w:sz w:val="24"/>
          <w:u w:val="single"/>
        </w:rPr>
        <w:t>Policies</w:t>
      </w:r>
      <w:r>
        <w:rPr>
          <w:color w:val="000000"/>
        </w:rPr>
        <w:t>”</w:t>
      </w:r>
      <w:r>
        <w:rPr>
          <w:rFonts w:ascii="Times New Roman" w:hAnsi="Times New Roman"/>
          <w:color w:val="000000"/>
          <w:sz w:val="24"/>
        </w:rPr>
        <w:t>); (iii) where required by Privacy Laws, the Company provides accurate notice of its applicable Policies to its customers, employees, third party vendors and representatives; and (iv) applicable Policies provide materially accurate and sufficient notice of the Company’s then-current privacy practices relating to their subject matter, and do not contain any material omissions of the Company’s then-current privacy practices, as required by Privacy Laws. “</w:t>
      </w:r>
      <w:r>
        <w:rPr>
          <w:rFonts w:ascii="Times New Roman" w:hAnsi="Times New Roman"/>
          <w:color w:val="000000"/>
          <w:sz w:val="24"/>
          <w:u w:val="single"/>
        </w:rPr>
        <w:t>Personal Data</w:t>
      </w:r>
      <w:r>
        <w:rPr>
          <w:color w:val="000000"/>
        </w:rPr>
        <w:t xml:space="preserve">” </w:t>
      </w:r>
      <w:r>
        <w:rPr>
          <w:rFonts w:ascii="Times New Roman" w:hAnsi="Times New Roman"/>
          <w:color w:val="000000"/>
          <w:sz w:val="24"/>
        </w:rPr>
        <w:t>means (i) personal data as defined by the Privacy Laws. (i) None of the disclosures made or contained in any of the Policies have been materially inaccurate, misleading, or deceptive in violation of any Privacy Laws and (ii) the execution, delivery and performance of this Agreement will not result in a breach of any Privacy Laws or Policies.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except as would not be reasonably expected to have a Material Adverse Effect; or (iii) is a party to any order, decree, or agreement by or with any court or arbitrator or governmental or regulatory authority that imposed any obligation or liability under any Privacy Law.</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(ll)</w:t>
      </w:r>
    </w:p>
    <w:p>
      <w:pPr>
        <w:pStyle w:val="TextBody"/>
        <w:bidi w:val="0"/>
        <w:jc w:val="both"/>
        <w:rPr/>
      </w:pPr>
      <w:r>
        <w:rPr>
          <w:rFonts w:ascii="Times New Roman" w:hAnsi="Times New Roman"/>
          <w:color w:val="000000"/>
          <w:sz w:val="24"/>
          <w:u w:val="single"/>
        </w:rPr>
        <w:t>Office of Foreign Assets Control</w:t>
      </w:r>
      <w:r>
        <w:rPr>
          <w:rFonts w:ascii="Times New Roman" w:hAnsi="Times New Roman"/>
          <w:color w:val="000000"/>
          <w:sz w:val="24"/>
        </w:rPr>
        <w:t>. Neither the Company nor any of its Subsidiaries, nor to the knowledge of the Company, any of the directors, officers or employees of the Company or its Subsidiaries, is an individual or entity that is, or is owned or controlled by an individual or entity that is: (i) the subject of any sanctions administered or enforced by the U.S. Department of Treasury’s Office of Foreign Assets Control, the United Nations Security Council, the European Union, His Majesty’s Treasury, or other relevant sanctions authority (collectively, “</w:t>
      </w:r>
      <w:r>
        <w:rPr>
          <w:rFonts w:ascii="Times New Roman" w:hAnsi="Times New Roman"/>
          <w:color w:val="000000"/>
          <w:sz w:val="24"/>
          <w:u w:val="single"/>
        </w:rPr>
        <w:t>Sanctions</w:t>
      </w:r>
      <w:r>
        <w:rPr>
          <w:color w:val="000000"/>
        </w:rPr>
        <w:t>”</w:t>
      </w:r>
      <w:r>
        <w:rPr>
          <w:rFonts w:ascii="Times New Roman" w:hAnsi="Times New Roman"/>
          <w:color w:val="000000"/>
          <w:sz w:val="24"/>
        </w:rPr>
        <w:t xml:space="preserve">), nor (ii) located, organized or resident in a country or territory that is the subject of Sanctions. Neither the Company nor any of its Subsidiaries will, directly or indirectly, use the proceeds of the transactions contemplated hereby, or lend, contribute or otherwise make available such proceeds to any Subsidiary, joint venture partner or other individual or entity: (i) to fund or facilitate any activities or business of or with any individual or entity or in any country or territory that, at </w:t>
      </w:r>
    </w:p>
    <w:p>
      <w:pPr>
        <w:pStyle w:val="TextBody"/>
        <w:bidi w:val="0"/>
        <w:jc w:val="left"/>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the time of such funding or facilitation, is the subject of Sanctions or (ii) in any other manner that will result in a violation of Sanctions by any individual or entity (including any individual or entity participating in the transactions contemplated hereby, whether as underwriter, advisor, investor or otherwise).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(mm)</w:t>
      </w:r>
    </w:p>
    <w:p>
      <w:pPr>
        <w:pStyle w:val="TextBody"/>
        <w:bidi w:val="0"/>
        <w:jc w:val="both"/>
        <w:rPr/>
      </w:pPr>
      <w:r>
        <w:rPr>
          <w:rFonts w:ascii="Times New Roman" w:hAnsi="Times New Roman"/>
          <w:color w:val="000000"/>
          <w:sz w:val="24"/>
          <w:u w:val="single"/>
        </w:rPr>
        <w:t>U.S. Real Property Holding Corporation</w:t>
      </w:r>
      <w:r>
        <w:rPr>
          <w:rFonts w:ascii="Times New Roman" w:hAnsi="Times New Roman"/>
          <w:color w:val="000000"/>
          <w:sz w:val="24"/>
        </w:rPr>
        <w:t>. The Company is not and has never been a U.S. real property holding corporation within the meaning of Section 897 of the Internal Revenue Code of 1986, as amended, and the Company shall so certify upon the Manager’s request.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(nn)</w:t>
      </w:r>
    </w:p>
    <w:p>
      <w:pPr>
        <w:pStyle w:val="TextBody"/>
        <w:bidi w:val="0"/>
        <w:jc w:val="both"/>
        <w:rPr/>
      </w:pPr>
      <w:r>
        <w:rPr>
          <w:rFonts w:ascii="Times New Roman" w:hAnsi="Times New Roman"/>
          <w:color w:val="000000"/>
          <w:sz w:val="24"/>
          <w:u w:val="single"/>
        </w:rPr>
        <w:t>Bank Holding Company Act</w:t>
      </w:r>
      <w:r>
        <w:rPr>
          <w:rFonts w:ascii="Times New Roman" w:hAnsi="Times New Roman"/>
          <w:color w:val="000000"/>
          <w:sz w:val="24"/>
        </w:rPr>
        <w:t>. Neither the Company nor any of its Subsidiaries or Affiliates is subject to the Bank Holding Company Act of 1956, as amended (the “</w:t>
      </w:r>
      <w:r>
        <w:rPr>
          <w:rFonts w:ascii="Times New Roman" w:hAnsi="Times New Roman"/>
          <w:color w:val="000000"/>
          <w:sz w:val="24"/>
          <w:u w:val="single"/>
        </w:rPr>
        <w:t>BHCA</w:t>
      </w:r>
      <w:r>
        <w:rPr>
          <w:color w:val="000000"/>
        </w:rPr>
        <w:t>”</w:t>
      </w:r>
      <w:r>
        <w:rPr>
          <w:rFonts w:ascii="Times New Roman" w:hAnsi="Times New Roman"/>
          <w:color w:val="000000"/>
          <w:sz w:val="24"/>
        </w:rPr>
        <w:t>) and to regulation by the Board of Governors of the Federal Reserve System (the “</w:t>
      </w:r>
      <w:r>
        <w:rPr>
          <w:rFonts w:ascii="Times New Roman" w:hAnsi="Times New Roman"/>
          <w:color w:val="000000"/>
          <w:sz w:val="24"/>
          <w:u w:val="single"/>
        </w:rPr>
        <w:t>Federal Reserve</w:t>
      </w:r>
      <w:r>
        <w:rPr>
          <w:color w:val="000000"/>
        </w:rPr>
        <w:t>”</w:t>
      </w:r>
      <w:r>
        <w:rPr>
          <w:rFonts w:ascii="Times New Roman" w:hAnsi="Times New Roman"/>
          <w:color w:val="000000"/>
          <w:sz w:val="24"/>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(oo)</w:t>
      </w:r>
    </w:p>
    <w:p>
      <w:pPr>
        <w:pStyle w:val="TextBody"/>
        <w:bidi w:val="0"/>
        <w:jc w:val="both"/>
        <w:rPr/>
      </w:pPr>
      <w:r>
        <w:rPr>
          <w:rFonts w:ascii="Times New Roman" w:hAnsi="Times New Roman"/>
          <w:color w:val="000000"/>
          <w:sz w:val="24"/>
          <w:u w:val="single"/>
        </w:rPr>
        <w:t>Money Laundering</w:t>
      </w:r>
      <w:r>
        <w:rPr>
          <w:rFonts w:ascii="Times New Roman" w:hAnsi="Times New Roman"/>
          <w:color w:val="000000"/>
          <w:sz w:val="24"/>
        </w:rPr>
        <w:t>. The operations of the Company and its Subsidiaries are and have been conducted at all times in material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color w:val="000000"/>
          <w:sz w:val="24"/>
          <w:u w:val="single"/>
        </w:rPr>
        <w:t>Money Laundering Laws</w:t>
      </w:r>
      <w:r>
        <w:rPr>
          <w:color w:val="000000"/>
        </w:rPr>
        <w:t>”</w:t>
      </w:r>
      <w:r>
        <w:rPr>
          <w:rFonts w:ascii="Times New Roman" w:hAnsi="Times New Roman"/>
          <w:color w:val="000000"/>
          <w:sz w:val="24"/>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(pp)</w:t>
      </w:r>
    </w:p>
    <w:p>
      <w:pPr>
        <w:pStyle w:val="TextBody"/>
        <w:bidi w:val="0"/>
        <w:jc w:val="both"/>
        <w:rPr/>
      </w:pPr>
      <w:r>
        <w:rPr>
          <w:rFonts w:ascii="Times New Roman" w:hAnsi="Times New Roman"/>
          <w:color w:val="000000"/>
          <w:sz w:val="24"/>
          <w:u w:val="single"/>
        </w:rPr>
        <w:t>FINRA Member Shareholders</w:t>
      </w:r>
      <w:r>
        <w:rPr>
          <w:rFonts w:ascii="Times New Roman" w:hAnsi="Times New Roman"/>
          <w:color w:val="000000"/>
          <w:sz w:val="24"/>
        </w:rPr>
        <w:t xml:space="preserve">. There are no affiliations with any FINRA member firm among the Company’s officers, directors or, to the knowledge of the Company, any five percent (5%) or greater stockholder of the Company, except as set forth in the Registration Statement, the Base Prospectus, any Prospectus Supplement or the Prospectus.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color w:val="000000"/>
          <w:sz w:val="24"/>
          <w:u w:val="single"/>
        </w:rPr>
        <w:t>Agreements</w:t>
      </w:r>
      <w:r>
        <w:rPr>
          <w:rFonts w:ascii="Times New Roman" w:hAnsi="Times New Roman"/>
          <w:color w:val="000000"/>
          <w:sz w:val="24"/>
        </w:rPr>
        <w:t xml:space="preserve">. The Company agrees with the Manager that: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Right to Review Amendments and Supplements to Registration Statement and Prospectus</w:t>
      </w:r>
      <w:r>
        <w:rPr>
          <w:rFonts w:ascii="Times New Roman" w:hAnsi="Times New Roman"/>
          <w:color w:val="000000"/>
          <w:sz w:val="24"/>
        </w:rPr>
        <w:t xml:space="preserve">. During any period when the delivery of a prospectus </w:t>
      </w:r>
    </w:p>
    <w:p>
      <w:pPr>
        <w:pStyle w:val="TextBody"/>
        <w:bidi w:val="0"/>
        <w:jc w:val="left"/>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relating to the Shares is required (including in circumstances where such requirement may be satisfied pursuant to Rule 172, 173 or any similar rule) to be delivered under the Act in connection with the offering or the sale of Shares, the Company will not file any amendment to the Registration Statement or supplement (including any Prospectus Supplement) to the Base Prospectus unless the Company has furnished to the Manager a copy for its review prior to filing and will not file any such proposed amendment or supplement to which the Manager reasonably objects (provided, however, that the Company will have no obligation to provide the Manager any advance copy of such filing or to provide the Manager an opportunity to object to such filing if the filing does not name the Manager and does not relate to the transactions under this Agreement). The Company will cause any supplement to the Prospectus to be properly completed, in a form approved by the Manager (such approval not be unreasonably withheld, delayed or conditioned), and will file such supplement with the Commission pursuant to the applicable paragraph of Rule 424(b) within the time period prescribed thereby and will provide evidence reasonably satisfactory to the Manager of such timely filing. The Company will promptly advise the Manager (i) when the Prospectus, and any supplement thereto, shall have been filed (if required) with the Commission pursuant to Rule 424(b),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Subsequent Events</w:t>
      </w:r>
      <w:r>
        <w:rPr>
          <w:rFonts w:ascii="Times New Roman" w:hAnsi="Times New Roman"/>
          <w:color w:val="000000"/>
          <w:sz w:val="24"/>
        </w:rPr>
        <w:t xml:space="preserve">.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not misleading, the Company will (i) notify promptly the Manager so that any use of </w:t>
      </w:r>
    </w:p>
    <w:p>
      <w:pPr>
        <w:pStyle w:val="TextBody"/>
        <w:bidi w:val="0"/>
        <w:jc w:val="left"/>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the Registration Statement or Prospectus may cease until such are amended or supplemented; (ii) amend or supplement the Registration Statement or Prospectus to correct such statement or omission; and (iii) supply any such amendment or supplement to the Manager in such quantities as the Manager may reasonably request.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Notification of Subsequent Filings</w:t>
      </w:r>
      <w:r>
        <w:rPr>
          <w:rFonts w:ascii="Times New Roman" w:hAnsi="Times New Roman"/>
          <w:color w:val="000000"/>
          <w:sz w:val="24"/>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will promptly (i) notify the Manager of any such event, (ii) subject to Section 4(a), prepare and file with the Commission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the Manager in such quantities as the Manager may reasonably request.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Earnings Statements</w:t>
      </w:r>
      <w:r>
        <w:rPr>
          <w:rFonts w:ascii="Times New Roman" w:hAnsi="Times New Roman"/>
          <w:color w:val="000000"/>
          <w:sz w:val="24"/>
        </w:rPr>
        <w:t>. As soon as reasonably practicable, the Company will make generally available to its security holders and to the Manager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Delivery of Registration Statement</w:t>
      </w:r>
      <w:r>
        <w:rPr>
          <w:rFonts w:ascii="Times New Roman" w:hAnsi="Times New Roman"/>
          <w:color w:val="000000"/>
          <w:sz w:val="24"/>
        </w:rPr>
        <w:t>. Upon the request of the Manager, the Company will furnish to the Manager and counsel for the Manager, without charge, signed copies of the Registration Statement (including exhibits thereto) and, so long as delivery of a prospectus by the Manager or dealer may be required by the Act (including in circumstances where such requirement may be satisfied pursuant to Rule 172, 173 or any similar rule), as many copies of the Prospectus and each Issuer Free Writing Prospectus and any supplement thereto as the Manager may reasonably request.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color w:val="000000"/>
          <w:sz w:val="24"/>
          <w:u w:val="single"/>
        </w:rPr>
        <w:t>Qualification of Shares</w:t>
      </w:r>
      <w:r>
        <w:rPr>
          <w:rFonts w:ascii="Times New Roman" w:hAnsi="Times New Roman"/>
          <w:color w:val="000000"/>
          <w:sz w:val="24"/>
        </w:rPr>
        <w:t xml:space="preserve">. The Company will arrange, if necessary, for the qualification of the Shares for sale under the U.S. federal and state laws of such jurisdictions as the Manager may designate and will maintain such qualifications in effect so long as required for the distribution of the Shares; provided that in no event shall the Company be obligated to qualify to do business </w:t>
      </w:r>
    </w:p>
    <w:p>
      <w:pPr>
        <w:pStyle w:val="TextBody"/>
        <w:bidi w:val="0"/>
        <w:jc w:val="left"/>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in any jurisdiction where it is not now so qualified or to take any action that would subject it to service of process in suits, other than those arising out of the offering or sale of the Shares, in any jurisdiction where it is not now so subject.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color w:val="000000"/>
          <w:sz w:val="24"/>
          <w:u w:val="single"/>
        </w:rPr>
        <w:t>Free Writing Prospectus</w:t>
      </w:r>
      <w:r>
        <w:rPr>
          <w:rFonts w:ascii="Times New Roman" w:hAnsi="Times New Roman"/>
          <w:color w:val="000000"/>
          <w:sz w:val="24"/>
        </w:rPr>
        <w:t>. The Company agrees that, unless it has or shall have obtained the prior written consent of the Manager (such consent not be unreasonably withheld, delayed or conditioned), and the Manager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Manager or the Company is hereinafter referred to as a “</w:t>
      </w:r>
      <w:r>
        <w:rPr>
          <w:rFonts w:ascii="Times New Roman" w:hAnsi="Times New Roman"/>
          <w:color w:val="000000"/>
          <w:sz w:val="24"/>
          <w:u w:val="single"/>
        </w:rPr>
        <w:t>Permitted Free Writing Prospectus</w:t>
      </w:r>
      <w:r>
        <w:rPr>
          <w:rFonts w:ascii="Times New Roman" w:hAnsi="Times New Roman"/>
          <w:color w:val="000000"/>
          <w:sz w:val="24"/>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rFonts w:ascii="Times New Roman" w:hAnsi="Times New Roman"/>
          <w:color w:val="000000"/>
          <w:sz w:val="24"/>
          <w:u w:val="single"/>
        </w:rPr>
        <w:t>Market Manipulation</w:t>
      </w:r>
      <w:r>
        <w:rPr>
          <w:rFonts w:ascii="Times New Roman" w:hAnsi="Times New Roman"/>
          <w:color w:val="000000"/>
          <w:sz w:val="24"/>
        </w:rPr>
        <w:t>.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Act, Exchange Act or the rules and regulations thereunder of the price of any security of the Company to facilitate the sale or resale of the Shares or otherwise violate any provision of Regulation M under the Exchange Act.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Notification of Incorrect Certificate</w:t>
      </w:r>
      <w:r>
        <w:rPr>
          <w:rFonts w:ascii="Times New Roman" w:hAnsi="Times New Roman"/>
          <w:color w:val="000000"/>
          <w:sz w:val="24"/>
        </w:rPr>
        <w:t xml:space="preserve">. The Company will, at any time during the term of this Agreement, as supplemented from time to time, advise the Manager immediately after it shall have received notice or obtained knowledge thereof, of any information or fact that would alter or affect any opinion, certificate, letter and other document provided to the Manager pursuant to Section 6 herein in any material respect.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rFonts w:ascii="Times New Roman" w:hAnsi="Times New Roman"/>
          <w:color w:val="000000"/>
          <w:sz w:val="24"/>
          <w:u w:val="single"/>
        </w:rPr>
        <w:t>Certification of Accuracy of Disclosure</w:t>
      </w:r>
      <w:r>
        <w:rPr>
          <w:rFonts w:ascii="Times New Roman" w:hAnsi="Times New Roman"/>
          <w:color w:val="000000"/>
          <w:sz w:val="24"/>
        </w:rPr>
        <w:t xml:space="preserve">. Upon commencement of the offering of the Shares under this Agreement, and each time that (i) the Registration Statement or Prospectus shall be amended or supplemented, other than by means of Incorporated Documents, (ii) the Company files its Annual Report on Form 10-K under the Exchange Act, (iii) the Company files its quarterly reports on Form 10-Q under the Exchange Act, (iv) the Company files a Current Report on Form 8-K containing amended financial information (other than information that is furnished and not filed), if the Manager reasonably determines that the information in such Form 8-K is material, or (v) the Shares are delivered to the Manager as principal at the Time of Delivery pursuant to a Terms Agreement (such </w:t>
      </w:r>
    </w:p>
    <w:p>
      <w:pPr>
        <w:pStyle w:val="TextBody"/>
        <w:bidi w:val="0"/>
        <w:jc w:val="left"/>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commencement or recommencement date and each such date referred to in (i), (ii), (iii), (iv) and (v) above, a “</w:t>
      </w:r>
      <w:r>
        <w:rPr>
          <w:rFonts w:ascii="Times New Roman" w:hAnsi="Times New Roman"/>
          <w:color w:val="000000"/>
          <w:sz w:val="24"/>
          <w:u w:val="single"/>
        </w:rPr>
        <w:t>Representation Date</w:t>
      </w:r>
      <w:r>
        <w:rPr>
          <w:color w:val="000000"/>
        </w:rPr>
        <w:t>”</w:t>
      </w:r>
      <w:r>
        <w:rPr>
          <w:rFonts w:ascii="Times New Roman" w:hAnsi="Times New Roman"/>
          <w:color w:val="000000"/>
          <w:sz w:val="24"/>
        </w:rPr>
        <w:t>), unless waived by the Manager, the Company shall furnish or cause to be furnished to the Manager forthwith a certificate dated and delivered on the Representation Date, in form reasonably satisfactory to the Manager to the effect that the statements contained in the certificate referred to in Section 6 of this Agreement which were last furnished to the Manager are true and correct at the Representation Date, as though made at and as of such date (except that such statements shall be deemed to relate to the Registration Statement and the Prospectus as amended and supplemented to such date) or, in lieu of such certificate, a certificate of the same tenor as the certificate referred to in said Section 6, modified as necessary to relate to the Registration Statement and the Prospectus as amended and supplemented to the date of delivery of such certificate. Further, the requirement to furnish or cause to be furnished a certificate under this Section 4(j) shall be waived for such Representation Date occurring on a date on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the Manager a certificate pursuant to this Section 4(j), then before the Company instructs the Manager to sell Shares pursuant to this Agreement, the Company shall provide the Manager such certificate.</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pPr>
      <w:r>
        <w:rPr>
          <w:rFonts w:ascii="Times New Roman" w:hAnsi="Times New Roman"/>
          <w:color w:val="000000"/>
          <w:sz w:val="24"/>
          <w:u w:val="single"/>
        </w:rPr>
        <w:t>Bring Down Opinions; Negative Assurance</w:t>
      </w:r>
      <w:r>
        <w:rPr>
          <w:rFonts w:ascii="Times New Roman" w:hAnsi="Times New Roman"/>
          <w:color w:val="000000"/>
          <w:sz w:val="24"/>
        </w:rPr>
        <w:t>. Within five (5) Trading Days of each Representation Date, unless waived by the Manager, the Company shall furnish or cause to be furnished forthwith to the Manager and to counsel to the Manager a written opinion of counsel to the Company (“</w:t>
      </w:r>
      <w:r>
        <w:rPr>
          <w:rFonts w:ascii="Times New Roman" w:hAnsi="Times New Roman"/>
          <w:color w:val="000000"/>
          <w:sz w:val="24"/>
          <w:u w:val="single"/>
        </w:rPr>
        <w:t>Company Counsel</w:t>
      </w:r>
      <w:r>
        <w:rPr>
          <w:color w:val="000000"/>
        </w:rPr>
        <w:t>”</w:t>
      </w:r>
      <w:r>
        <w:rPr>
          <w:rFonts w:ascii="Times New Roman" w:hAnsi="Times New Roman"/>
          <w:color w:val="000000"/>
          <w:sz w:val="24"/>
        </w:rPr>
        <w:t xml:space="preserve">) addressed to the Manager and dated and delivered within five (5) Trading Days of such Representation Date, in form and substance reasonably satisfactory to the Manager, including a negative assurance representation. The requirement to furnish or cause to be furnished an opinion (but not with respect to a negative assurance representation) under this Section 4(k) shall be waived for any Representation Date other than a Representation Date on which a material amendment to the Registration Statement or Prospectus is made or the Company files its Annual Report on Form 10-K or a material amendment thereto under the Exchange Act, unless the Manager reasonably requests such deliverable required by this Section 4(k) in connection with a Representation Date, upon which request such deliverable shall be deliverable hereunder. The requirement to furnish or cause to be furnished the opinions and a negative assurance letter of Company Counsel under this Section 4(k) shall be waived for such Representation Date occurring on a date on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the Manager an opinion and/or negative assurance letter pursuant to this Section 4(k), then before the Company instructs the Manager to sell Shares pursuant to this </w:t>
      </w:r>
    </w:p>
    <w:p>
      <w:pPr>
        <w:pStyle w:val="TextBody"/>
        <w:bidi w:val="0"/>
        <w:jc w:val="left"/>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Agreement, the Company shall provide the Manager such opinion and negative assurance letter.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pPr>
      <w:r>
        <w:rPr>
          <w:rFonts w:ascii="Times New Roman" w:hAnsi="Times New Roman"/>
          <w:color w:val="000000"/>
          <w:sz w:val="24"/>
          <w:u w:val="single"/>
        </w:rPr>
        <w:t>Auditor Bring Down “Comfort” Letter</w:t>
      </w:r>
      <w:r>
        <w:rPr>
          <w:rFonts w:ascii="Times New Roman" w:hAnsi="Times New Roman"/>
          <w:color w:val="000000"/>
          <w:sz w:val="24"/>
        </w:rPr>
        <w:t>. Within five (5) Trading Days of each Representation Date, unless waived by the Manager, the Company shall cause (1) the Company’s auditors (the “</w:t>
      </w:r>
      <w:r>
        <w:rPr>
          <w:rFonts w:ascii="Times New Roman" w:hAnsi="Times New Roman"/>
          <w:color w:val="000000"/>
          <w:sz w:val="24"/>
          <w:u w:val="single"/>
        </w:rPr>
        <w:t>Accountants</w:t>
      </w:r>
      <w:r>
        <w:rPr>
          <w:color w:val="000000"/>
        </w:rPr>
        <w:t>”</w:t>
      </w:r>
      <w:r>
        <w:rPr>
          <w:rFonts w:ascii="Times New Roman" w:hAnsi="Times New Roman"/>
          <w:color w:val="000000"/>
          <w:sz w:val="24"/>
        </w:rPr>
        <w:t xml:space="preserve">), or other independent accountants satisfactory to the Manager to furnish the Manager a letter, and (2) the Chief Financial Officer of the Company to furnish the Manager a certificate, in each case dated within five (5) Trading Days of such Representation Date, in form and substance reasonably satisfactory to the Manager, of the same tenor as the letters and certificate referred to in Section 6 of this Agreement but modified to relate to the Registration Statement and the Prospectus, as amended and supplemented to the date of such letters and certificate. The requirement to furnish or cause to be furnished a “comfort” letter under this Section 4(l) shall be waived for any Representation Date other than a Representation Date on which a material amendment to the Registration Statement or Prospectus is made or the Company files its Annual Report on Form 10-K or a material amendment thereto under the Exchange Act, unless the Manager reasonably requests the deliverables required by this Section 4(l) in connection with a Representation Date, upon which request such deliverable shall be deliverable hereunder. The requirement to furnish or cause to be furnished a comfort letter or Chief Financial Officer certificate under this Section 4(l) shall be waived for any Representation Date occurring at a time at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the Manager a comfort letter or Chief Financial Officer certificate pursuant to this Section 4(l), then before the Company instructs the Manager to sell Shares pursuant to this Agreement, the Company shall provide the Manager such comfort letter or Chief Financial Officer certificate.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w:t>
      </w:r>
    </w:p>
    <w:p>
      <w:pPr>
        <w:pStyle w:val="TextBody"/>
        <w:bidi w:val="0"/>
        <w:jc w:val="both"/>
        <w:rPr/>
      </w:pPr>
      <w:r>
        <w:rPr>
          <w:rFonts w:ascii="Times New Roman" w:hAnsi="Times New Roman"/>
          <w:color w:val="000000"/>
          <w:sz w:val="24"/>
          <w:u w:val="single"/>
        </w:rPr>
        <w:t>Due Diligence Session</w:t>
      </w:r>
      <w:r>
        <w:rPr>
          <w:rFonts w:ascii="Times New Roman" w:hAnsi="Times New Roman"/>
          <w:color w:val="000000"/>
          <w:sz w:val="24"/>
        </w:rPr>
        <w:t xml:space="preserve">. Upon commencement of the offering of the Shares under this Agreement, and at each Representation Date for which no waiver is applicable pursuant to Section 4(j), the Company will conduct a due diligence session, in form and substance, reasonably satisfactory to the Manager, which shall include representatives of management, Company Counsel and Accountants. The Company shall cooperate timely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corporate officers and the Company’s agents during regular business hours, and timely furnishing or causing to be furnished such certificates, letters and opinions from the Company, its officers and its agents, as the Manager may reasonably request. Company shall reimburse the Manager for Manager’s counsel’s fees in each such Representation Date, up to a maximum of $5,000 per Representation Date in connection with a new Registration Statement, Prospectus or Prospectus </w:t>
      </w:r>
    </w:p>
    <w:p>
      <w:pPr>
        <w:pStyle w:val="TextBody"/>
        <w:bidi w:val="0"/>
        <w:jc w:val="left"/>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Supplement or an amendment to this Agreement. The requirement to conduct a due diligence session under this Section 4(m) shall be waived for any Representation Date occurring at a time at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conduct a due diligence session pursuant to this Section 4(n), then before the Company instructs the Manager to sell Shares pursuant to this Agreement, the Company shall conduct a due diligence session in accordance with this Section 4(m).</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w:t>
      </w:r>
    </w:p>
    <w:p>
      <w:pPr>
        <w:pStyle w:val="TextBody"/>
        <w:bidi w:val="0"/>
        <w:jc w:val="both"/>
        <w:rPr/>
      </w:pPr>
      <w:r>
        <w:rPr>
          <w:rFonts w:ascii="Times New Roman" w:hAnsi="Times New Roman"/>
          <w:color w:val="000000"/>
          <w:sz w:val="24"/>
          <w:u w:val="single"/>
        </w:rPr>
        <w:t>Acknowledgment of Trading</w:t>
      </w:r>
      <w:r>
        <w:rPr>
          <w:rFonts w:ascii="Times New Roman" w:hAnsi="Times New Roman"/>
          <w:color w:val="000000"/>
          <w:sz w:val="24"/>
        </w:rPr>
        <w:t xml:space="preserve">. The Company consents to the Manager trading in the Common Stock for the Manager’s own account and for the account of its clients at the same time as sales of the Shares occur pursuant to this Agreement or pursuant to a Terms Agreement.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jc w:val="both"/>
        <w:rPr/>
      </w:pPr>
      <w:r>
        <w:rPr>
          <w:rFonts w:ascii="Times New Roman" w:hAnsi="Times New Roman"/>
          <w:color w:val="000000"/>
          <w:sz w:val="24"/>
          <w:u w:val="single"/>
        </w:rPr>
        <w:t>Disclosure of Shares Sold</w:t>
      </w:r>
      <w:r>
        <w:rPr>
          <w:rFonts w:ascii="Times New Roman" w:hAnsi="Times New Roman"/>
          <w:color w:val="000000"/>
          <w:sz w:val="24"/>
        </w:rPr>
        <w:t xml:space="preserve">. The Company will disclose in its Annual Reports on Form 10-K and Quarterly Reports on Form 10-Q, as applicable, the number of Shares sold through the Manager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Current Report on Form 8-K or a further Prospectus Supplement.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(p)</w:t>
      </w:r>
    </w:p>
    <w:p>
      <w:pPr>
        <w:pStyle w:val="TextBody"/>
        <w:bidi w:val="0"/>
        <w:jc w:val="both"/>
        <w:rPr/>
      </w:pPr>
      <w:r>
        <w:rPr>
          <w:rFonts w:ascii="Times New Roman" w:hAnsi="Times New Roman"/>
          <w:color w:val="000000"/>
          <w:sz w:val="24"/>
          <w:u w:val="single"/>
        </w:rPr>
        <w:t>Rescission Right</w:t>
      </w:r>
      <w:r>
        <w:rPr>
          <w:rFonts w:ascii="Times New Roman" w:hAnsi="Times New Roman"/>
          <w:color w:val="000000"/>
          <w:sz w:val="24"/>
        </w:rPr>
        <w:t>. If to the knowledge of the Company, the conditions set forth in Section 6 shall not have been satisfied as of the applicable Settlement Date, the Company will offer to any person who has agreed to purchase Shares from the Company as the result of an offer to purchase solicited by the Manager the right to refuse to purchase and pay for such Shares.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(q)</w:t>
      </w:r>
    </w:p>
    <w:p>
      <w:pPr>
        <w:pStyle w:val="TextBody"/>
        <w:bidi w:val="0"/>
        <w:jc w:val="both"/>
        <w:rPr/>
      </w:pPr>
      <w:r>
        <w:rPr>
          <w:rFonts w:ascii="Times New Roman" w:hAnsi="Times New Roman"/>
          <w:color w:val="000000"/>
          <w:sz w:val="24"/>
          <w:u w:val="single"/>
        </w:rPr>
        <w:t>Bring Down of Representations and Warranties</w:t>
      </w:r>
      <w:r>
        <w:rPr>
          <w:rFonts w:ascii="Times New Roman" w:hAnsi="Times New Roman"/>
          <w:color w:val="000000"/>
          <w:sz w:val="24"/>
        </w:rPr>
        <w:t>. Each acceptance by the Company of an offer to purchase the Shares hereunder, and each execution and delivery by the Company of a Terms Agreement, shall be deemed to be an affirmation to the Manager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(r)</w:t>
      </w:r>
    </w:p>
    <w:p>
      <w:pPr>
        <w:pStyle w:val="TextBody"/>
        <w:bidi w:val="0"/>
        <w:jc w:val="both"/>
        <w:rPr/>
      </w:pPr>
      <w:r>
        <w:rPr>
          <w:rFonts w:ascii="Times New Roman" w:hAnsi="Times New Roman"/>
          <w:color w:val="000000"/>
          <w:sz w:val="24"/>
          <w:u w:val="single"/>
        </w:rPr>
        <w:t>Reservation of Shares</w:t>
      </w:r>
      <w:r>
        <w:rPr>
          <w:rFonts w:ascii="Times New Roman" w:hAnsi="Times New Roman"/>
          <w:color w:val="000000"/>
          <w:sz w:val="24"/>
        </w:rPr>
        <w:t xml:space="preserve">. The Company shall ensure that there are at all times sufficient shares of Common Stock to provide for the issuance, free of any </w:t>
      </w:r>
    </w:p>
    <w:p>
      <w:pPr>
        <w:pStyle w:val="TextBody"/>
        <w:bidi w:val="0"/>
        <w:jc w:val="left"/>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the Trading Market and to maintain such listing.</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w:t>
      </w:r>
    </w:p>
    <w:p>
      <w:pPr>
        <w:pStyle w:val="TextBody"/>
        <w:bidi w:val="0"/>
        <w:jc w:val="both"/>
        <w:rPr/>
      </w:pPr>
      <w:r>
        <w:rPr>
          <w:rFonts w:ascii="Times New Roman" w:hAnsi="Times New Roman"/>
          <w:color w:val="000000"/>
          <w:sz w:val="24"/>
          <w:u w:val="single"/>
        </w:rPr>
        <w:t>Obligation Under Exchange Act</w:t>
      </w:r>
      <w:r>
        <w:rPr>
          <w:rFonts w:ascii="Times New Roman" w:hAnsi="Times New Roman"/>
          <w:color w:val="000000"/>
          <w:sz w:val="24"/>
        </w:rPr>
        <w:t xml:space="preserve">.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w:t>
      </w:r>
    </w:p>
    <w:p>
      <w:pPr>
        <w:pStyle w:val="TextBody"/>
        <w:bidi w:val="0"/>
        <w:jc w:val="both"/>
        <w:rPr/>
      </w:pPr>
      <w:r>
        <w:rPr>
          <w:rFonts w:ascii="Times New Roman" w:hAnsi="Times New Roman"/>
          <w:color w:val="000000"/>
          <w:sz w:val="24"/>
          <w:u w:val="single"/>
        </w:rPr>
        <w:t>DTC Facility</w:t>
      </w:r>
      <w:r>
        <w:rPr>
          <w:rFonts w:ascii="Times New Roman" w:hAnsi="Times New Roman"/>
          <w:color w:val="000000"/>
          <w:sz w:val="24"/>
        </w:rPr>
        <w:t xml:space="preserve">. The Company shall cooperate with the Manager and use its commercially reasonable efforts to permit the Shares to be eligible for clearance and settlement through the facilities of DTC.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(u)</w:t>
      </w:r>
    </w:p>
    <w:p>
      <w:pPr>
        <w:pStyle w:val="TextBody"/>
        <w:bidi w:val="0"/>
        <w:jc w:val="both"/>
        <w:rPr/>
      </w:pPr>
      <w:r>
        <w:rPr>
          <w:rFonts w:ascii="Times New Roman" w:hAnsi="Times New Roman"/>
          <w:color w:val="000000"/>
          <w:sz w:val="24"/>
          <w:u w:val="single"/>
        </w:rPr>
        <w:t>Use of Proceeds</w:t>
      </w:r>
      <w:r>
        <w:rPr>
          <w:rFonts w:ascii="Times New Roman" w:hAnsi="Times New Roman"/>
          <w:color w:val="000000"/>
          <w:sz w:val="24"/>
        </w:rPr>
        <w:t xml:space="preserve">. The Company will apply the Net Proceeds from the sale of the Shares in the manner set forth in the Prospectus.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w:t>
      </w:r>
    </w:p>
    <w:p>
      <w:pPr>
        <w:pStyle w:val="TextBody"/>
        <w:bidi w:val="0"/>
        <w:jc w:val="both"/>
        <w:rPr/>
      </w:pPr>
      <w:r>
        <w:rPr>
          <w:rFonts w:ascii="Times New Roman" w:hAnsi="Times New Roman"/>
          <w:color w:val="000000"/>
          <w:sz w:val="24"/>
          <w:u w:val="single"/>
        </w:rPr>
        <w:t>Filing of Prospectus Supplement</w:t>
      </w:r>
      <w:r>
        <w:rPr>
          <w:rFonts w:ascii="Times New Roman" w:hAnsi="Times New Roman"/>
          <w:color w:val="000000"/>
          <w:sz w:val="24"/>
        </w:rPr>
        <w:t>. If any sales are made pursuant to this Agreement which are not made in “at the market” offerings as defined in Rule 415, including, without limitation, any Placement pursuant to a Terms Agreement, the Company shall file a Prospectus Supplement describing the terms of such transaction, the amount of Shares sold, the price thereof, the Manager’s compensation, and such other information as may be required pursuant to Rule 424 and Rule 430B, as applicable, within the time required by Rule 424.</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w:t>
      </w:r>
    </w:p>
    <w:p>
      <w:pPr>
        <w:pStyle w:val="TextBody"/>
        <w:bidi w:val="0"/>
        <w:jc w:val="both"/>
        <w:rPr/>
      </w:pPr>
      <w:r>
        <w:rPr>
          <w:rFonts w:ascii="Times New Roman" w:hAnsi="Times New Roman"/>
          <w:color w:val="000000"/>
          <w:sz w:val="24"/>
          <w:u w:val="single"/>
        </w:rPr>
        <w:t>Additional Registration Statement</w:t>
      </w:r>
      <w:r>
        <w:rPr>
          <w:rFonts w:ascii="Times New Roman" w:hAnsi="Times New Roman"/>
          <w:color w:val="000000"/>
          <w:sz w:val="24"/>
        </w:rPr>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w:t>
      </w:r>
      <w:r>
        <w:rPr>
          <w:rFonts w:ascii="Times New Roman" w:hAnsi="Times New Roman"/>
          <w:color w:val="000000"/>
          <w:sz w:val="24"/>
          <w:u w:val="single"/>
        </w:rPr>
        <w:t>Registration Statement</w:t>
      </w:r>
      <w:r>
        <w:rPr>
          <w:color w:val="000000"/>
        </w:rPr>
        <w:t xml:space="preserve">” </w:t>
      </w:r>
      <w:r>
        <w:rPr>
          <w:rFonts w:ascii="Times New Roman" w:hAnsi="Times New Roman"/>
          <w:color w:val="000000"/>
          <w:sz w:val="24"/>
        </w:rPr>
        <w:t>included in this Agreement shall be deemed to include such new registration statement, including all documents incorporated by reference therein pursuant to Item 12 of Form S-3, and all references to “</w:t>
      </w:r>
      <w:r>
        <w:rPr>
          <w:rFonts w:ascii="Times New Roman" w:hAnsi="Times New Roman"/>
          <w:color w:val="000000"/>
          <w:sz w:val="24"/>
          <w:u w:val="single"/>
        </w:rPr>
        <w:t>Base Prospectus</w:t>
      </w:r>
      <w:r>
        <w:rPr>
          <w:color w:val="000000"/>
        </w:rPr>
        <w:t xml:space="preserve">” </w:t>
      </w:r>
      <w:r>
        <w:rPr>
          <w:rFonts w:ascii="Times New Roman" w:hAnsi="Times New Roman"/>
          <w:color w:val="000000"/>
          <w:sz w:val="24"/>
        </w:rPr>
        <w:t>included in this Agreement shall be deemed to include the final form of prospectus, including all documents incorporated therein by reference, included in any such registration statement at the time such registration statement became effective.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color w:val="000000"/>
          <w:sz w:val="24"/>
          <w:u w:val="single"/>
        </w:rPr>
        <w:t>Payment of Expenses</w:t>
      </w:r>
      <w:r>
        <w:rPr>
          <w:rFonts w:ascii="Times New Roman" w:hAnsi="Times New Roman"/>
          <w:color w:val="000000"/>
          <w:sz w:val="24"/>
        </w:rPr>
        <w:t xml:space="preserve">. The Company agrees to pay the costs and expenses incident to the performance of its obligations under this Agreement, whether or not the transactions contemplated hereby are consummated, including without limitation: (i) the </w:t>
      </w:r>
    </w:p>
    <w:p>
      <w:pPr>
        <w:pStyle w:val="TextBody"/>
        <w:bidi w:val="0"/>
        <w:jc w:val="left"/>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preparation, printing or reproduction and filing with the Commission of the Registration Statement (including financial statements and exhibits thereto), the Prospectus and each Issuer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fees and expenses of counsel for the Manager relating to such registration and qualification); (vii) the transportation and other expenses incurred by or on behalf of Company representatives in connection with presentations to prospective purchasers of the Shares; (viii) the fees and expenses of the Company’s accountants and the fees and expenses of counsel (including local and special counsel) for the Company; (ix) the filing fee under FINRA Rule 5110; (x) the reasonable fees and expenses of the Manager’s counsel, not to exceed $50,000 (excluding any periodic due diligence fees provided for under Section 4(n), which shall be paid upon the Execution Time; and (xi) all other costs and expenses incident to the performance by the Company of its obligations hereunder.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rFonts w:ascii="Times New Roman" w:hAnsi="Times New Roman"/>
          <w:color w:val="000000"/>
          <w:sz w:val="24"/>
          <w:u w:val="single"/>
        </w:rPr>
        <w:t>Conditions to the Obligations of the Manager</w:t>
      </w:r>
      <w:r>
        <w:rPr>
          <w:rFonts w:ascii="Times New Roman" w:hAnsi="Times New Roman"/>
          <w:color w:val="000000"/>
          <w:sz w:val="24"/>
        </w:rPr>
        <w:t>. The obligations of the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the performance by the Company of its obligations hereunder and (iii) the following additional conditions: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Filing of Prospectus Supplement</w:t>
      </w:r>
      <w:r>
        <w:rPr>
          <w:rFonts w:ascii="Times New Roman" w:hAnsi="Times New Roman"/>
          <w:color w:val="000000"/>
          <w:sz w:val="24"/>
        </w:rPr>
        <w:t xml:space="preserve">. The Prospectus, and any supplement thereto, required by Rule 424 to be filed with the Commission have been filed in the manner and within the time period required by Rule 424(b) with respect to any sale of Shares; each Prospectus Supplement shall have been filed in the manner required by Rule 424(b) within the time period required hereunder and under the Act;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Delivery of Opinion</w:t>
      </w:r>
      <w:r>
        <w:rPr>
          <w:rFonts w:ascii="Times New Roman" w:hAnsi="Times New Roman"/>
          <w:color w:val="000000"/>
          <w:sz w:val="24"/>
        </w:rPr>
        <w:t xml:space="preserve">. The Company shall have caused the Company Counsel to furnish to the Manager its opinion and negative assurance statement, </w:t>
      </w:r>
    </w:p>
    <w:p>
      <w:pPr>
        <w:pStyle w:val="TextBody"/>
        <w:bidi w:val="0"/>
        <w:jc w:val="left"/>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dated as of such date and addressed to the Manager in form and substance reasonably acceptable to the Manager.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Delivery of Officer’s Certificate</w:t>
      </w:r>
      <w:r>
        <w:rPr>
          <w:rFonts w:ascii="Times New Roman" w:hAnsi="Times New Roman"/>
          <w:color w:val="000000"/>
          <w:sz w:val="24"/>
        </w:rPr>
        <w:t xml:space="preserve">. The Company shall have furnished or caused to be furnished to the Manager a certificate of the Company signed by the Chief Executive Officer or the principal financial or accounting officer of the Company, dated as of such date, to the effect that the signer of such certificate has carefully examined the Registration Statement, the Prospectus, any Prospectus Supplement and any documents incorporated by reference therein and any supplements or amendments thereto and this Agreement and that: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 xml:space="preserve">the representations and warranties of the Company in this Agreement are true and correct on and as of such date with the same effect as if made on such date and the Company has complied with all the agreements and satisfied all the conditions on its part to be performed or satisfied at or prior to such date;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 xml:space="preserve">no stop order suspending the effectiveness of the Registration Statement or any notice objecting to its use has been issued and no proceedings for that purpose have been instituted or, to the Company’s knowledge, threatened; and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rFonts w:ascii="Times New Roman" w:hAnsi="Times New Roman"/>
          <w:color w:val="000000"/>
          <w:sz w:val="24"/>
        </w:rPr>
      </w:pPr>
      <w:r>
        <w:rPr>
          <w:rFonts w:ascii="Times New Roman" w:hAnsi="Times New Roman"/>
          <w:color w:val="000000"/>
          <w:sz w:val="24"/>
        </w:rPr>
        <w:t xml:space="preserve">since the date of the most recent financial statements included in the Registration Statement, the Prospectus and the Incorporated Documents,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Delivery of Accountants’ “Comfort” Letter</w:t>
      </w:r>
      <w:r>
        <w:rPr>
          <w:rFonts w:ascii="Times New Roman" w:hAnsi="Times New Roman"/>
          <w:color w:val="000000"/>
          <w:sz w:val="24"/>
        </w:rPr>
        <w:t>. The Company shall have requested and caused the Accountants to have furnished to the Manager letters (which may refer to letters previously delivered to the Manager), dated as of such date, in form and substance reasonably satisfactory to the Manager, confirming that they are independent accountants within the meaning of the Act and the Exchange Act and the respective applicable rules and regulations adopted by the Commission thereunder and that they have performed a review of any unaudited interim financial information of the Company included or incorporated by reference in the Registration Statement and the Prospectus and provide customary “comfort” as to such review in form and substance satisfactory to the Manager.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No Material Adverse Event</w:t>
      </w:r>
      <w:r>
        <w:rPr>
          <w:rFonts w:ascii="Times New Roman" w:hAnsi="Times New Roman"/>
          <w:color w:val="000000"/>
          <w:sz w:val="24"/>
        </w:rPr>
        <w:t xml:space="preserve">. Since the respective dates as of which information is disclosed in the Registration Statement, the Prospectus and the Incorporated Documents, except as otherwise stated therein, there shall not have been any change, or any development involving a prospective change, in or affecting the condition (financial or otherwise), earnings, business or properties of </w:t>
      </w:r>
    </w:p>
    <w:p>
      <w:pPr>
        <w:pStyle w:val="TextBody"/>
        <w:bidi w:val="0"/>
        <w:jc w:val="left"/>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the Company and its subsidiaries taken as a whole, whether or not arising from transactions in the ordinary course of business, except as set forth in or contemplated in the Registration Statement, the Prospectus and the Incorporated Documents (exclusive of any amendment or supplement thereto) the effect of which, is, in the reasonable judgment of the Manager, so material and adverse as to make it impractical or inadvisable to proceed with the offering or delivery of the Shares as contemplated by the Registration Statement (exclusive of any amendment thereof), the Incorporated Documents and the Prospectus (exclusive of any amendment or supplement thereto).</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color w:val="000000"/>
          <w:sz w:val="24"/>
          <w:u w:val="single"/>
        </w:rPr>
        <w:t>Payment of All Fees</w:t>
      </w:r>
      <w:r>
        <w:rPr>
          <w:rFonts w:ascii="Times New Roman" w:hAnsi="Times New Roman"/>
          <w:color w:val="000000"/>
          <w:sz w:val="24"/>
        </w:rPr>
        <w:t xml:space="preserve">. The Company shall have paid the required Commission filing fees relating to the Shares within the time period required by Rule 456(b)(1)(i) of the Act without regard to the proviso therein and otherwise in accordance with Rules 456(b) and 457(r) of the Act and, if applicable, shall have updated the “Calculation of Registration Fee” table in accordance with Rule 456(b)(1)(ii) either in a post-effective amendment to the Registration Statement or on the cover page of a prospectus filed pursuant to Rule 424(b).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color w:val="000000"/>
          <w:sz w:val="24"/>
          <w:u w:val="single"/>
        </w:rPr>
        <w:t>No FINRA Objections</w:t>
      </w:r>
      <w:r>
        <w:rPr>
          <w:rFonts w:ascii="Times New Roman" w:hAnsi="Times New Roman"/>
          <w:color w:val="000000"/>
          <w:sz w:val="24"/>
        </w:rPr>
        <w:t xml:space="preserve">. FINRA shall not have raised any objection with respect to the fairness and reasonableness of the terms and arrangements under this Agreement.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rFonts w:ascii="Times New Roman" w:hAnsi="Times New Roman"/>
          <w:color w:val="000000"/>
          <w:sz w:val="24"/>
          <w:u w:val="single"/>
        </w:rPr>
        <w:t>Shares Listed on Trading Market</w:t>
      </w:r>
      <w:r>
        <w:rPr>
          <w:rFonts w:ascii="Times New Roman" w:hAnsi="Times New Roman"/>
          <w:color w:val="000000"/>
          <w:sz w:val="24"/>
        </w:rPr>
        <w:t>. The Company shall have submitted an application for listing of the Shares being offered under this Agreement to the Trading Market, and the Trading Market shall not have raised any objection to the submission prior to each Settlement Date and Time of Delivery.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Other Assurances</w:t>
      </w:r>
      <w:r>
        <w:rPr>
          <w:rFonts w:ascii="Times New Roman" w:hAnsi="Times New Roman"/>
          <w:color w:val="000000"/>
          <w:sz w:val="24"/>
        </w:rPr>
        <w:t>. Prior to each Settlement Date and Time of Delivery, as applicable, the Company shall have furnished to the Manager such further information, certificates and documents as the Manager may reasonably request.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or Time of Delivery, as applicable, by the Manager. Notice of such cancellation shall be given to the Company in writing or by telephone and confirmed in writing by email.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documents required to be delivered by this Section 6 shall be delivered to the office of Ellenoff Grossman &amp; Schole LLP, counsel for the Manager, at 1345 Avenue of the Americas, New York, New York 10105, email: ______, on each such date as provided in this Agreement.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pPr>
      <w:r>
        <w:rPr>
          <w:rFonts w:ascii="Times New Roman" w:hAnsi="Times New Roman"/>
          <w:color w:val="000000"/>
          <w:sz w:val="24"/>
          <w:u w:val="single"/>
        </w:rPr>
        <w:t>Indemnification and Contribution</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Indemnification by Company</w:t>
      </w:r>
      <w:r>
        <w:rPr>
          <w:rFonts w:ascii="Times New Roman" w:hAnsi="Times New Roman"/>
          <w:color w:val="000000"/>
          <w:sz w:val="24"/>
        </w:rPr>
        <w:t xml:space="preserve">. The Company agrees to indemnify and hold harmless the Manager, the directors, officers, employees and agents of the Manager and each person who controls the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in light of the circumstance under which they were made, not misleading or arise out of or are based upon any Proceeding commenced or threatened (whether or not the Manager is a target of or party to such Proceeding)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Manager specifically for inclusion therein. This indemnity agreement will be in addition to any liability that the Company may otherwise have.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Indemnification by Manager</w:t>
      </w:r>
      <w:r>
        <w:rPr>
          <w:rFonts w:ascii="Times New Roman" w:hAnsi="Times New Roman"/>
          <w:color w:val="000000"/>
          <w:sz w:val="24"/>
        </w:rPr>
        <w:t xml:space="preserve">. The Manager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the Manager, but only with reference to written information relating to the Manager furnished to the Company by the Manager specifically for inclusion in the documents referred to in the foregoing indemnity;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no case shall the Manager be responsible for any amount in excess of the Broker Fee applicable to the Shares and paid hereunder. This indemnity agreement will be in addition to any liability which the Manager may otherwise have.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Indemnification Procedures</w:t>
      </w:r>
      <w:r>
        <w:rPr>
          <w:rFonts w:ascii="Times New Roman" w:hAnsi="Times New Roman"/>
          <w:color w:val="000000"/>
          <w:sz w:val="24"/>
        </w:rPr>
        <w:t xml:space="preserve">. Promptly after receipt by an indemnified party under this Section 7 of notice of the commencement of any action, such indemnified party will, if a claim in respect thereof is to be made against the indemnifying party under this Section 7, notify the indemnifying party </w:t>
      </w:r>
    </w:p>
    <w:p>
      <w:pPr>
        <w:pStyle w:val="TextBody"/>
        <w:bidi w:val="0"/>
        <w:jc w:val="left"/>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 xml:space="preserve">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Contribution</w:t>
      </w:r>
      <w:r>
        <w:rPr>
          <w:rFonts w:ascii="Times New Roman" w:hAnsi="Times New Roman"/>
          <w:color w:val="000000"/>
          <w:sz w:val="24"/>
        </w:rPr>
        <w:t>. In the event that the indemnity provided in paragraph (a), (b) or (c) of this Section 7 is unavailable to or insufficient to hold harmless an indemnified party for any reason, the Company and the Manager agree to contribute to the aggregate losses, claims, damages and liabilities (including legal or other expenses reasonably incurred in connection with investigating or defending the same) (collectively “</w:t>
      </w:r>
      <w:r>
        <w:rPr>
          <w:rFonts w:ascii="Times New Roman" w:hAnsi="Times New Roman"/>
          <w:color w:val="000000"/>
          <w:sz w:val="24"/>
          <w:u w:val="single"/>
        </w:rPr>
        <w:t>Losses</w:t>
      </w:r>
      <w:r>
        <w:rPr>
          <w:color w:val="000000"/>
        </w:rPr>
        <w:t>”</w:t>
      </w:r>
      <w:r>
        <w:rPr>
          <w:rFonts w:ascii="Times New Roman" w:hAnsi="Times New Roman"/>
          <w:color w:val="000000"/>
          <w:sz w:val="24"/>
        </w:rPr>
        <w:t xml:space="preserve">) to which the Company and the Manager may be subject in such proportion as is appropriate to reflect the relative benefits received by the Company on the one hand and by the Manager on the other from the offering of the Shares;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no case shall the Manager be responsible for any amount in excess of the Broker Fee applicable to the Shares and paid </w:t>
      </w:r>
    </w:p>
    <w:p>
      <w:pPr>
        <w:pStyle w:val="TextBody"/>
        <w:bidi w:val="0"/>
        <w:jc w:val="left"/>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hereunder. If the allocation provided by the immediately preceding sentence is unavailable for any reason, the Company and the Manager severally shall contribute in such proportion as is appropriate to reflect not only such relative benefits but also the relative fault of the Company on the one hand and of the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Manager shall be deemed to be equal to the Broker Fee applicable to the Shares and paid hereunder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the Manager on the other, the intent of the parties and their relative knowledge, access to information and opportunity to correct or prevent such untrue statement or omission. The Company and the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the Manager within the meaning of either the Act or the Exchange Act and each director, officer, employee and agent of the Manager shall have the same rights to contribution as the Manager,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Settlements</w:t>
      </w:r>
      <w:r>
        <w:rPr>
          <w:rFonts w:ascii="Times New Roman" w:hAnsi="Times New Roman"/>
          <w:color w:val="000000"/>
          <w:sz w:val="24"/>
        </w:rPr>
        <w:t xml:space="preserve">. No indemnifying party shall be liable under this Section for any settlement of any claim or action (or threatened claim or action) effected without its written consent, which shall not be unreasonably withheld, but if a claim or action settled with its written consent, or if there be a final judgment for the plaintiff with respect to any such claim or action, the indemnifying party agrees, subject to the exceptions and limitations set forth above, to indemnify and hold harmless the indemnified party from and against any and all losses, claims, damages or liabilities (and legal and other expenses as set forth above) incurred by reason of such settlement or judgment. No indemnifying party shall, without the prior written consent of the indemnified party (which consent shall not be unreasonably withheld), effect any settlement or compromise of any pending or threatened proceeding in respect of which the indemnified party is or could have been a party, or indemnity could have been sought hereunder by the indemnified party, unless such settlement (A) includes an unconditional written release of the indemnified party, in form and substance reasonably satisfactory to the indemnified party, from all liability on claims that are the subject matter of such proceeding and </w:t>
      </w:r>
    </w:p>
    <w:p>
      <w:pPr>
        <w:pStyle w:val="TextBody"/>
        <w:bidi w:val="0"/>
        <w:jc w:val="left"/>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(B) does not include any statement as to an admission of fault, culpability or failure to act by or on behalf of the indemnified party. Notwithstanding the foregoing, if at any time an indemnified party shall have requested an indemnifying party to reimburse the indemnified party for legal or other expenses as contemplated by Section 7(c) hereof, the indemnifying party agrees that it shall be liable for any settlement or compromise of, or consent to the entry of any judgment with respect to, any pending or threatened action or claim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or compromise of, or consent to the entry of such judgment.</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8.</w:t>
      </w:r>
    </w:p>
    <w:p>
      <w:pPr>
        <w:pStyle w:val="TextBody"/>
        <w:bidi w:val="0"/>
        <w:jc w:val="both"/>
        <w:rPr/>
      </w:pPr>
      <w:r>
        <w:rPr>
          <w:rFonts w:ascii="Times New Roman" w:hAnsi="Times New Roman"/>
          <w:color w:val="000000"/>
          <w:sz w:val="24"/>
          <w:u w:val="single"/>
        </w:rPr>
        <w:t>Termination</w:t>
      </w:r>
      <w:r>
        <w:rPr>
          <w:rFonts w:ascii="Times New Roman" w:hAnsi="Times New Roman"/>
          <w:color w:val="000000"/>
          <w:sz w:val="24"/>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The Company shall have the right, by giving written notice as hereinafter specified, to terminate the provisions of this Agreement relating to the solicitation of offers to purchase the Shares in its sole discretion at any time upon ten (10) Business Days’ prior written notice. Any such termination shall be without liability of any party to any other party except that (i) with respect to any pending sale, through the Manager for the Company, the obligations of the Company, including in respect of compensation of the Manager, shall remain in full force and effect notwithstanding the termination and (ii) the provisions of Sections 5, 6, 7, 8, 9, 10, 12, 14, 15 and 16 of this Agreement shall remain in full force and effect notwithstanding such termination.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The Manager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5, 6, 7, 8, 9, 10, 12, 14, 15 and 16 of this Agreement shall remain in full force and effect notwithstanding such termination.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This Agreement shall remain in full force and effect until such date that this Agreement is terminated pursuant to Sections 8(a) or (b) above or otherwise by mutual agreement of the parties, provided that any such termination by mutual agreement shall in all cases be deemed to provide that Sections 5, 6, 7, 8, 9, 10, 12, 14, 15 and 16 of this Agreement shall remain in full force and effect.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 xml:space="preserve">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or Time of Delivery for any sale of the Shares, such sale of </w:t>
      </w:r>
    </w:p>
    <w:p>
      <w:pPr>
        <w:pStyle w:val="TextBody"/>
        <w:bidi w:val="0"/>
        <w:jc w:val="left"/>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the Shares shall settle in accordance with the provisions of Section 2(b) of this Agreement.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 xml:space="preserve">In the case of any purchase of Shares by the Manager pursuant to a Terms Agreement, the obligations of the Manager pursuant to such Terms Agreement shall be subject to termination, in the absolute discretion of the Manager, by prompt oral notice given to the Company prior to the Time of Delivery relating to such Shares, if any, and confirmed promptly by electronic mail, if since the time of execution of the Terms Agreement and prior to such delivery and payment, (i) trading in the Common Stock shall have been suspended by the Commission or the Trading Market or trading in securities generally on the Trading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 impractical or inadvisable to proceed with the offering or delivery of the Shares as contemplated by the Prospectus (exclusive of any amendment or supplement thereto).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9.</w:t>
      </w:r>
    </w:p>
    <w:p>
      <w:pPr>
        <w:pStyle w:val="TextBody"/>
        <w:bidi w:val="0"/>
        <w:jc w:val="both"/>
        <w:rPr/>
      </w:pPr>
      <w:r>
        <w:rPr>
          <w:rFonts w:ascii="Times New Roman" w:hAnsi="Times New Roman"/>
          <w:color w:val="000000"/>
          <w:sz w:val="24"/>
          <w:u w:val="single"/>
        </w:rPr>
        <w:t>Representations and Indemnities to Survive</w:t>
      </w:r>
      <w:r>
        <w:rPr>
          <w:rFonts w:ascii="Times New Roman" w:hAnsi="Times New Roman"/>
          <w:color w:val="000000"/>
          <w:sz w:val="24"/>
        </w:rPr>
        <w:t xml:space="preserve">. The respective agreements, representations, warranties, indemnities and other statements of the Company or its officers and of the Manager set forth in or made pursuant to this Agreement will remain in full force and effect, regardless of any investigation made by the Manager or the Company or any of the officers, directors, employees, agents or controlling persons referred to in Section 7, and will survive delivery of and payment for the Shares.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10.</w:t>
      </w:r>
    </w:p>
    <w:p>
      <w:pPr>
        <w:pStyle w:val="TextBody"/>
        <w:bidi w:val="0"/>
        <w:jc w:val="both"/>
        <w:rPr/>
      </w:pPr>
      <w:r>
        <w:rPr>
          <w:rFonts w:ascii="Times New Roman" w:hAnsi="Times New Roman"/>
          <w:color w:val="000000"/>
          <w:sz w:val="24"/>
          <w:u w:val="single"/>
        </w:rPr>
        <w:t>Notices</w:t>
      </w:r>
      <w:r>
        <w:rPr>
          <w:rFonts w:ascii="Times New Roman" w:hAnsi="Times New Roman"/>
          <w:color w:val="000000"/>
          <w:sz w:val="24"/>
        </w:rPr>
        <w:t xml:space="preserve">. All communications hereunder will be in writing and effective only on receipt, and will be mailed, delivered, or e-mailed to the addresses of the Company and the Manager, respectively, set forth on the signature page hereto.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11.</w:t>
      </w:r>
    </w:p>
    <w:p>
      <w:pPr>
        <w:pStyle w:val="TextBody"/>
        <w:bidi w:val="0"/>
        <w:jc w:val="both"/>
        <w:rPr/>
      </w:pPr>
      <w:r>
        <w:rPr>
          <w:rFonts w:ascii="Times New Roman" w:hAnsi="Times New Roman"/>
          <w:color w:val="000000"/>
          <w:sz w:val="24"/>
          <w:u w:val="single"/>
        </w:rPr>
        <w:t>Successors</w:t>
      </w:r>
      <w:r>
        <w:rPr>
          <w:rFonts w:ascii="Times New Roman" w:hAnsi="Times New Roman"/>
          <w:color w:val="000000"/>
          <w:sz w:val="24"/>
        </w:rPr>
        <w:t xml:space="preserve">. This Agreement will inure to the benefit of and be binding upon the parties hereto and their respective successors and the officers, directors, employees, agents and controlling persons referred to in Section 7, and no other person will have any right or obligation hereunder.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12.</w:t>
      </w:r>
    </w:p>
    <w:p>
      <w:pPr>
        <w:pStyle w:val="TextBody"/>
        <w:bidi w:val="0"/>
        <w:jc w:val="both"/>
        <w:rPr/>
      </w:pPr>
      <w:r>
        <w:rPr>
          <w:rFonts w:ascii="Times New Roman" w:hAnsi="Times New Roman"/>
          <w:color w:val="000000"/>
          <w:sz w:val="24"/>
          <w:u w:val="single"/>
        </w:rPr>
        <w:t>No Fiduciary Duty</w:t>
      </w:r>
      <w:r>
        <w:rPr>
          <w:rFonts w:ascii="Times New Roman" w:hAnsi="Times New Roman"/>
          <w:color w:val="000000"/>
          <w:sz w:val="24"/>
        </w:rPr>
        <w:t xml:space="preserve">. The Company hereby acknowledges that (a) the purchase and sale of the Shares pursuant to this Agreement is an arm’s-length commercial transaction between the Company, on the one hand, and the Manager and any affiliate through which it may be acting, on the other, (b) the Manager is acting solely as sales agent and/or principal in connection with the purchase and sale of the Company’s securities and not as a fiduciary of the Company and (c) the Company’s engagement of the Manager in connection with the offering and the process leading up to the offering is as an independent contractor and not in any other capacity. Furthermore, the Company agrees that it is solely responsible for making its own judgments in connection with the offering (irrespective of </w:t>
      </w:r>
    </w:p>
    <w:p>
      <w:pPr>
        <w:pStyle w:val="TextBody"/>
        <w:bidi w:val="0"/>
        <w:jc w:val="left"/>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whether the Manager has advised or is currently advising the Company on related or other matters). The Company agrees that it will not claim that the Manager has rendered advisory services of any nature or respect, or owe an agency, fiduciary or similar duty to the Company, in connection with such transaction or the process leading thereto.</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13.</w:t>
      </w:r>
    </w:p>
    <w:p>
      <w:pPr>
        <w:pStyle w:val="TextBody"/>
        <w:bidi w:val="0"/>
        <w:jc w:val="both"/>
        <w:rPr/>
      </w:pPr>
      <w:r>
        <w:rPr>
          <w:rFonts w:ascii="Times New Roman" w:hAnsi="Times New Roman"/>
          <w:color w:val="000000"/>
          <w:sz w:val="24"/>
          <w:u w:val="single"/>
        </w:rPr>
        <w:t>Integration</w:t>
      </w:r>
      <w:r>
        <w:rPr>
          <w:rFonts w:ascii="Times New Roman" w:hAnsi="Times New Roman"/>
          <w:color w:val="000000"/>
          <w:sz w:val="24"/>
        </w:rPr>
        <w:t>. This Agreement and any Terms Agreement supersede all prior agreements and understandings (whether written or oral) between the Company and the Manager with respect to the subject matter hereof.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14.</w:t>
      </w:r>
    </w:p>
    <w:p>
      <w:pPr>
        <w:pStyle w:val="TextBody"/>
        <w:bidi w:val="0"/>
        <w:jc w:val="both"/>
        <w:rPr/>
      </w:pPr>
      <w:r>
        <w:rPr>
          <w:rFonts w:ascii="Times New Roman" w:hAnsi="Times New Roman"/>
          <w:color w:val="000000"/>
          <w:sz w:val="24"/>
          <w:u w:val="single"/>
        </w:rPr>
        <w:t>Amendments; Waivers</w:t>
      </w:r>
      <w:r>
        <w:rPr>
          <w:rFonts w:ascii="Times New Roman" w:hAnsi="Times New Roman"/>
          <w:color w:val="000000"/>
          <w:sz w:val="24"/>
        </w:rPr>
        <w:t>. No provision of this Agreement may be waived, modified, supplemented or amended except in a written instrument signed, in the case of an amendment, by the Company and the Manager.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15.</w:t>
      </w:r>
    </w:p>
    <w:p>
      <w:pPr>
        <w:pStyle w:val="TextBody"/>
        <w:bidi w:val="0"/>
        <w:jc w:val="both"/>
        <w:rPr/>
      </w:pPr>
      <w:r>
        <w:rPr>
          <w:rFonts w:ascii="Times New Roman" w:hAnsi="Times New Roman"/>
          <w:color w:val="000000"/>
          <w:sz w:val="24"/>
          <w:u w:val="single"/>
        </w:rPr>
        <w:t>Applicable Law</w:t>
      </w:r>
      <w:r>
        <w:rPr>
          <w:rFonts w:ascii="Times New Roman" w:hAnsi="Times New Roman"/>
          <w:color w:val="000000"/>
          <w:sz w:val="24"/>
        </w:rPr>
        <w:t>. This Agreement and any Terms Agreement will be governed by and construed in accordance with the laws of the State of New York applicable to contracts made and to be performed within the State of New York. Each of the Company and the Manager: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exclusive jurisdiction of the New York Supreme Court, County of New York, and the United States District Court for the Southern District of New York in any such suit, action or proceeding. Each of the Company and the Manager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Manager mailed by certified mail to the Manager’s address shall be deemed in every respect effective service process upon the Manager,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16.</w:t>
      </w:r>
    </w:p>
    <w:p>
      <w:pPr>
        <w:pStyle w:val="TextBody"/>
        <w:bidi w:val="0"/>
        <w:jc w:val="both"/>
        <w:rPr/>
      </w:pPr>
      <w:r>
        <w:rPr>
          <w:rFonts w:ascii="Times New Roman" w:hAnsi="Times New Roman"/>
          <w:b/>
          <w:caps/>
          <w:color w:val="000000"/>
          <w:sz w:val="24"/>
          <w:u w:val="single"/>
        </w:rPr>
        <w:t>Waiver of Jury Trial</w:t>
      </w:r>
      <w:r>
        <w:rPr>
          <w:rFonts w:ascii="Times New Roman" w:hAnsi="Times New Roman"/>
          <w:b/>
          <w:caps/>
          <w:color w:val="000000"/>
          <w:sz w:val="24"/>
        </w:rPr>
        <w:t xml:space="preserve">. The Company hereby irrevocably waives, to the fullest extent permitted by applicable law, any and all right to trial by jury in any legal proceeding arising out of or relating to this </w:t>
      </w:r>
    </w:p>
    <w:p>
      <w:pPr>
        <w:pStyle w:val="TextBody"/>
        <w:bidi w:val="0"/>
        <w:jc w:val="left"/>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b/>
          <w:caps/>
          <w:color w:val="000000"/>
          <w:sz w:val="24"/>
        </w:rPr>
        <w:t>Agreement, any Terms Agreement or the transactions contemplated hereby or thereby.</w:t>
      </w:r>
      <w:r>
        <w:rPr>
          <w:caps/>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17.</w:t>
      </w:r>
    </w:p>
    <w:p>
      <w:pPr>
        <w:pStyle w:val="TextBody"/>
        <w:bidi w:val="0"/>
        <w:jc w:val="both"/>
        <w:rPr/>
      </w:pPr>
      <w:r>
        <w:rPr>
          <w:rFonts w:ascii="Times New Roman" w:hAnsi="Times New Roman"/>
          <w:color w:val="000000"/>
          <w:sz w:val="24"/>
          <w:u w:val="single"/>
        </w:rPr>
        <w:t>Counterparts</w:t>
      </w:r>
      <w:r>
        <w:rPr>
          <w:rFonts w:ascii="Times New Roman" w:hAnsi="Times New Roman"/>
          <w:color w:val="000000"/>
          <w:sz w:val="24"/>
        </w:rPr>
        <w:t>. This Agreement and any Terms Agreement may be executed in one or more counterparts, each one of which shall be an original, with the same effect as if the signatures thereto and hereto were upon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18.</w:t>
      </w:r>
    </w:p>
    <w:p>
      <w:pPr>
        <w:pStyle w:val="TextBody"/>
        <w:bidi w:val="0"/>
        <w:jc w:val="both"/>
        <w:rPr/>
      </w:pPr>
      <w:r>
        <w:rPr>
          <w:rFonts w:ascii="Times New Roman" w:hAnsi="Times New Roman"/>
          <w:color w:val="000000"/>
          <w:sz w:val="24"/>
          <w:u w:val="single"/>
        </w:rPr>
        <w:t>Headings</w:t>
      </w:r>
      <w:r>
        <w:rPr>
          <w:rFonts w:ascii="Times New Roman" w:hAnsi="Times New Roman"/>
          <w:color w:val="000000"/>
          <w:sz w:val="24"/>
        </w:rPr>
        <w:t xml:space="preserve">. The section headings used in this Agreement and any Terms Agreement are for convenience only and shall not affect the construction hereof. </w:t>
      </w:r>
    </w:p>
    <w:p>
      <w:pPr>
        <w:pStyle w:val="TextBody"/>
        <w:bidi w:val="0"/>
        <w:jc w:val="both"/>
        <w:rPr>
          <w:rFonts w:ascii="Times New Roman" w:hAnsi="Times New Roman"/>
          <w:sz w:val="20"/>
        </w:rPr>
      </w:pPr>
      <w:r>
        <w:rPr>
          <w:rFonts w:ascii="Times New Roman" w:hAnsi="Times New Roman"/>
          <w:color w:val="000000"/>
          <w:sz w:val="24"/>
        </w:rPr>
        <w:t>If the foregoing is in accordance with your understanding of our agreement, please sign and return to us the enclosed duplicate hereof, whereupon this letter and your acceptance shall represent a binding agreement among the Company and the Manager.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Shimmick Corporation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aps/>
          <w:color w:val="000000"/>
          <w:sz w:val="20"/>
        </w:rPr>
        <w:t xml:space="preserve"> </w:t>
      </w:r>
      <w:r>
        <w:rPr>
          <w:rFonts w:ascii="Times New Roman" w:hAnsi="Times New Roman"/>
          <w:color w:val="000000"/>
          <w:sz w:val="24"/>
          <w:u w:val="single"/>
        </w:rPr>
        <w:t>/s/ Todd W. Yoder____</w:t>
      </w:r>
    </w:p>
    <w:p>
      <w:pPr>
        <w:pStyle w:val="TextBody"/>
        <w:bidi w:val="0"/>
        <w:jc w:val="left"/>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Todd W. Yoder</w:t>
      </w:r>
      <w:r>
        <w:rPr>
          <w:rFonts w:ascii="Times New Roman" w:hAnsi="Times New Roman"/>
          <w:color w:val="000000"/>
          <w:sz w:val="24"/>
        </w:rPr>
        <w:t>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Executive Vice President, Chief Financial Officer &amp; Treasurer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Address for Notice</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Shimmick Corporation</w:t>
      </w:r>
    </w:p>
    <w:p>
      <w:pPr>
        <w:pStyle w:val="TextBody"/>
        <w:bidi w:val="0"/>
        <w:jc w:val="left"/>
        <w:rPr>
          <w:rFonts w:ascii="Times New Roman" w:hAnsi="Times New Roman"/>
          <w:color w:val="000000"/>
          <w:sz w:val="24"/>
        </w:rPr>
      </w:pPr>
      <w:r>
        <w:rPr>
          <w:rFonts w:ascii="Times New Roman" w:hAnsi="Times New Roman"/>
          <w:color w:val="000000"/>
          <w:sz w:val="24"/>
        </w:rPr>
        <w:t>530 Technology Drive</w:t>
        <w:br/>
        <w:t>Suite 300</w:t>
        <w:br/>
        <w:t>Irvine, California 92618</w:t>
        <w:br/>
        <w:t>Attention: John Carpenter</w:t>
      </w:r>
    </w:p>
    <w:p>
      <w:pPr>
        <w:pStyle w:val="TextBody"/>
        <w:bidi w:val="0"/>
        <w:jc w:val="left"/>
        <w:rPr>
          <w:rFonts w:ascii="Times New Roman" w:hAnsi="Times New Roman"/>
          <w:sz w:val="20"/>
        </w:rPr>
      </w:pPr>
      <w:r>
        <w:rPr>
          <w:rFonts w:ascii="Times New Roman" w:hAnsi="Times New Roman"/>
          <w:color w:val="000000"/>
          <w:sz w:val="24"/>
        </w:rPr>
        <w:t>Email: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King &amp; Spalding LLP</w:t>
      </w:r>
    </w:p>
    <w:p>
      <w:pPr>
        <w:pStyle w:val="TextBody"/>
        <w:bidi w:val="0"/>
        <w:jc w:val="left"/>
        <w:rPr>
          <w:rFonts w:ascii="Times New Roman" w:hAnsi="Times New Roman"/>
          <w:sz w:val="20"/>
        </w:rPr>
      </w:pPr>
      <w:r>
        <w:rPr>
          <w:rFonts w:ascii="Times New Roman" w:hAnsi="Times New Roman"/>
          <w:color w:val="000000"/>
          <w:sz w:val="24"/>
        </w:rPr>
        <w:t>1180 Peachtree Street, NE</w:t>
        <w:br/>
        <w:t>Suite 1600</w:t>
        <w:br/>
        <w:t>Atlanta, GA 30309Attention: Zachary Davis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Email: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foregoing Agreement is hereby confirmed and accepted as of the date first written above.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ROTH CAPITAL PARTNERS, LLC</w:t>
      </w:r>
    </w:p>
    <w:tbl>
      <w:tblPr>
        <w:tblW w:w="6166" w:type="dxa"/>
        <w:jc w:val="left"/>
        <w:tblInd w:w="0" w:type="dxa"/>
        <w:tblLayout w:type="fixed"/>
        <w:tblCellMar>
          <w:top w:w="28" w:type="dxa"/>
          <w:left w:w="28" w:type="dxa"/>
          <w:bottom w:w="28" w:type="dxa"/>
          <w:right w:w="28" w:type="dxa"/>
        </w:tblCellMar>
      </w:tblPr>
      <w:tblGrid>
        <w:gridCol w:w="6166"/>
      </w:tblGrid>
      <w:tr>
        <w:trPr/>
        <w:tc>
          <w:tcPr>
            <w:tcW w:w="6166"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6166" w:type="dxa"/>
            <w:tcBorders/>
            <w:tcMar>
              <w:top w:w="0" w:type="dxa"/>
              <w:left w:w="0" w:type="dxa"/>
              <w:bottom w:w="0" w:type="dxa"/>
              <w:right w:w="0" w:type="dxa"/>
            </w:tcMar>
            <w:vAlign w:val="center"/>
          </w:tcPr>
          <w:p>
            <w:pPr>
              <w:pStyle w:val="TableContents"/>
              <w:bidi w:val="0"/>
              <w:ind w:left="0" w:right="0" w:firstLine="720"/>
              <w:jc w:val="both"/>
              <w:rPr/>
            </w:pPr>
            <w:r>
              <w:rPr/>
              <w:t> </w:t>
            </w:r>
          </w:p>
          <w:p>
            <w:pPr>
              <w:pStyle w:val="TableContents"/>
              <w:bidi w:val="0"/>
              <w:ind w:left="0" w:right="0" w:firstLine="720"/>
              <w:jc w:val="left"/>
              <w:rPr>
                <w:rFonts w:ascii="Times New Roman" w:hAnsi="Times New Roman"/>
                <w:sz w:val="24"/>
              </w:rPr>
            </w:pPr>
            <w:r>
              <w:rPr>
                <w:rFonts w:ascii="Times New Roman" w:hAnsi="Times New Roman"/>
                <w:color w:val="000000"/>
                <w:sz w:val="24"/>
              </w:rPr>
              <w:t>By:</w:t>
            </w:r>
            <w:r>
              <w:rPr>
                <w:rFonts w:ascii="Times New Roman" w:hAnsi="Times New Roman"/>
                <w:caps/>
                <w:color w:val="000000"/>
                <w:sz w:val="24"/>
              </w:rPr>
              <w:t xml:space="preserve"> </w:t>
            </w:r>
            <w:r>
              <w:rPr>
                <w:rFonts w:ascii="Times New Roman" w:hAnsi="Times New Roman"/>
                <w:color w:val="000000"/>
                <w:sz w:val="24"/>
                <w:u w:val="single"/>
              </w:rPr>
              <w:t>/s/ Aaron M. Gurewitz____</w:t>
            </w:r>
          </w:p>
          <w:p>
            <w:pPr>
              <w:pStyle w:val="TableContents"/>
              <w:bidi w:val="0"/>
              <w:ind w:left="0" w:right="0" w:firstLine="720"/>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Aaron M. Gurewitz</w:t>
            </w:r>
            <w:r>
              <w:rPr>
                <w:rFonts w:ascii="Times New Roman" w:hAnsi="Times New Roman"/>
                <w:color w:val="000000"/>
                <w:sz w:val="24"/>
              </w:rPr>
              <w:t xml:space="preserve">____ </w:t>
            </w:r>
          </w:p>
          <w:p>
            <w:pPr>
              <w:pStyle w:val="TableContents"/>
              <w:bidi w:val="0"/>
              <w:ind w:left="0" w:right="0" w:firstLine="720"/>
              <w:jc w:val="left"/>
              <w:rPr>
                <w:rFonts w:ascii="Times New Roman" w:hAnsi="Times New Roman"/>
                <w:sz w:val="24"/>
              </w:rPr>
            </w:pPr>
            <w:r>
              <w:rPr>
                <w:rFonts w:ascii="Times New Roman" w:hAnsi="Times New Roman"/>
                <w:color w:val="000000"/>
                <w:sz w:val="24"/>
              </w:rPr>
              <w:t xml:space="preserve">Title: </w:t>
            </w:r>
            <w:r>
              <w:rPr>
                <w:rFonts w:ascii="Times New Roman" w:hAnsi="Times New Roman"/>
                <w:color w:val="000000"/>
                <w:sz w:val="24"/>
                <w:u w:val="single"/>
              </w:rPr>
              <w:t>President and Head of Investment Banking</w:t>
            </w:r>
            <w:r>
              <w:rPr>
                <w:rFonts w:ascii="Times New Roman" w:hAnsi="Times New Roman"/>
                <w:color w:val="000000"/>
                <w:sz w:val="24"/>
              </w:rPr>
              <w:t xml:space="preserve">_____ </w:t>
            </w:r>
          </w:p>
          <w:p>
            <w:pPr>
              <w:pStyle w:val="TableContents"/>
              <w:bidi w:val="0"/>
              <w:ind w:left="0" w:right="0" w:firstLine="720"/>
              <w:jc w:val="left"/>
              <w:rPr/>
            </w:pPr>
            <w:r>
              <w:rPr/>
              <w:t> </w:t>
            </w:r>
          </w:p>
          <w:p>
            <w:pPr>
              <w:pStyle w:val="TableContents"/>
              <w:bidi w:val="0"/>
              <w:spacing w:before="0" w:after="283"/>
              <w:ind w:left="0" w:right="0" w:firstLine="720"/>
              <w:jc w:val="both"/>
              <w:rPr/>
            </w:pPr>
            <w:r>
              <w:rPr/>
              <w:t> </w:t>
            </w:r>
          </w:p>
        </w:tc>
      </w:tr>
    </w:tbl>
    <w:p>
      <w:pPr>
        <w:pStyle w:val="TextBody"/>
        <w:bidi w:val="0"/>
        <w:jc w:val="left"/>
        <w:rPr>
          <w:rFonts w:ascii="Times New Roman" w:hAnsi="Times New Roman"/>
          <w:sz w:val="20"/>
        </w:rPr>
      </w:pPr>
      <w:r>
        <w:rPr>
          <w:rFonts w:ascii="Times New Roman" w:hAnsi="Times New Roman"/>
          <w:color w:val="000000"/>
          <w:sz w:val="24"/>
          <w:u w:val="single"/>
        </w:rPr>
        <w:t>Address for Notice</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888 San Clemente Drive</w:t>
      </w:r>
    </w:p>
    <w:p>
      <w:pPr>
        <w:pStyle w:val="TextBody"/>
        <w:bidi w:val="0"/>
        <w:jc w:val="left"/>
        <w:rPr>
          <w:rFonts w:ascii="Times New Roman" w:hAnsi="Times New Roman"/>
          <w:color w:val="000000"/>
          <w:sz w:val="24"/>
        </w:rPr>
      </w:pPr>
      <w:r>
        <w:rPr>
          <w:rFonts w:ascii="Times New Roman" w:hAnsi="Times New Roman"/>
          <w:color w:val="000000"/>
          <w:sz w:val="24"/>
        </w:rPr>
        <w:t>Suite 400</w:t>
      </w:r>
    </w:p>
    <w:p>
      <w:pPr>
        <w:pStyle w:val="TextBody"/>
        <w:bidi w:val="0"/>
        <w:jc w:val="left"/>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Newport Beach, CA 92660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00" w:after="100"/>
        <w:jc w:val="center"/>
        <w:rPr>
          <w:rFonts w:ascii="Times New Roman" w:hAnsi="Times New Roman"/>
          <w:b/>
          <w:color w:val="000000"/>
          <w:sz w:val="24"/>
        </w:rPr>
      </w:pPr>
      <w:r>
        <w:rPr>
          <w:rFonts w:ascii="Times New Roman" w:hAnsi="Times New Roman"/>
          <w:b/>
          <w:color w:val="000000"/>
          <w:sz w:val="24"/>
        </w:rPr>
        <w:t>Form of Terms Agreement</w:t>
      </w:r>
    </w:p>
    <w:p>
      <w:pPr>
        <w:pStyle w:val="TextBody"/>
        <w:bidi w:val="0"/>
        <w:spacing w:before="0" w:after="100"/>
        <w:jc w:val="center"/>
        <w:rPr>
          <w:rFonts w:ascii="Times New Roman" w:hAnsi="Times New Roman"/>
          <w:sz w:val="20"/>
        </w:rPr>
      </w:pPr>
      <w:r>
        <w:rPr>
          <w:rFonts w:ascii="Times New Roman" w:hAnsi="Times New Roman"/>
          <w:b/>
          <w:color w:val="000000"/>
          <w:sz w:val="24"/>
        </w:rPr>
        <w:t>ANNEX I</w:t>
      </w:r>
      <w:r>
        <w:rPr>
          <w:rFonts w:ascii="Times New Roman" w:hAnsi="Times New Roman"/>
          <w:color w:val="000000"/>
          <w:sz w:val="20"/>
        </w:rPr>
        <w:t xml:space="preserve"> </w:t>
      </w:r>
    </w:p>
    <w:p>
      <w:pPr>
        <w:pStyle w:val="TextBody"/>
        <w:bidi w:val="0"/>
        <w:spacing w:before="0" w:after="100"/>
        <w:jc w:val="center"/>
        <w:rPr>
          <w:rFonts w:ascii="Times New Roman" w:hAnsi="Times New Roman"/>
          <w:sz w:val="20"/>
        </w:rPr>
      </w:pPr>
      <w:r>
        <w:rPr>
          <w:rFonts w:ascii="Times New Roman" w:hAnsi="Times New Roman"/>
          <w:b/>
          <w:color w:val="000000"/>
          <w:sz w:val="24"/>
        </w:rPr>
        <w:t>_______________</w:t>
      </w:r>
      <w:r>
        <w:rPr>
          <w:rFonts w:ascii="Times New Roman" w:hAnsi="Times New Roman"/>
          <w:color w:val="000000"/>
          <w:sz w:val="20"/>
        </w:rPr>
        <w:t xml:space="preserve"> </w:t>
      </w:r>
    </w:p>
    <w:p>
      <w:pPr>
        <w:pStyle w:val="TextBody"/>
        <w:bidi w:val="0"/>
        <w:spacing w:before="0" w:after="100"/>
        <w:jc w:val="center"/>
        <w:rPr>
          <w:rFonts w:ascii="Times New Roman" w:hAnsi="Times New Roman"/>
          <w:b/>
          <w:color w:val="000000"/>
          <w:sz w:val="24"/>
        </w:rPr>
      </w:pPr>
      <w:r>
        <w:rPr>
          <w:rFonts w:ascii="Times New Roman" w:hAnsi="Times New Roman"/>
          <w:b/>
          <w:color w:val="000000"/>
          <w:sz w:val="24"/>
        </w:rPr>
        <w:t>TERMS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Dear Sirs: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Shimmick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proposes, subject to the terms and conditions stated herein and in the At The Market Offering Agreement, dated ______, 2025 (the “</w:t>
      </w:r>
      <w:r>
        <w:rPr>
          <w:rFonts w:ascii="Times New Roman" w:hAnsi="Times New Roman"/>
          <w:color w:val="000000"/>
          <w:sz w:val="24"/>
          <w:u w:val="single"/>
        </w:rPr>
        <w:t>At The Market Offering Agreement</w:t>
      </w:r>
      <w:r>
        <w:rPr>
          <w:rFonts w:ascii="Times New Roman" w:hAnsi="Times New Roman"/>
          <w:color w:val="000000"/>
          <w:sz w:val="20"/>
        </w:rPr>
        <w:t>”</w:t>
      </w:r>
      <w:r>
        <w:rPr>
          <w:rFonts w:ascii="Times New Roman" w:hAnsi="Times New Roman"/>
          <w:color w:val="000000"/>
          <w:sz w:val="24"/>
        </w:rPr>
        <w:t>), between the Company and ___________ (“</w:t>
      </w:r>
      <w:r>
        <w:rPr>
          <w:rFonts w:ascii="Times New Roman" w:hAnsi="Times New Roman"/>
          <w:color w:val="000000"/>
          <w:sz w:val="24"/>
          <w:u w:val="single"/>
        </w:rPr>
        <w:t>Manager</w:t>
      </w:r>
      <w:r>
        <w:rPr>
          <w:rFonts w:ascii="Times New Roman" w:hAnsi="Times New Roman"/>
          <w:color w:val="000000"/>
          <w:sz w:val="20"/>
        </w:rPr>
        <w:t>”</w:t>
      </w:r>
      <w:r>
        <w:rPr>
          <w:rFonts w:ascii="Times New Roman" w:hAnsi="Times New Roman"/>
          <w:color w:val="000000"/>
          <w:sz w:val="24"/>
        </w:rPr>
        <w:t xml:space="preserve">), to issue and sell to Manager the securities specified in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hereto (the “</w:t>
      </w:r>
      <w:r>
        <w:rPr>
          <w:rFonts w:ascii="Times New Roman" w:hAnsi="Times New Roman"/>
          <w:color w:val="000000"/>
          <w:sz w:val="24"/>
          <w:u w:val="single"/>
        </w:rPr>
        <w:t>Purchased Shares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Each of the provisions of the At The Market Offering Agreement not specifically related to the solicitation by the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3 of the At The Market Offering Agreement which makes reference to the Prospectus (as therein defined) shall be deemed to be a representation and warranty as of the date of the At The Market Offering Agreement in relation to the Prospectus, and also a representation and warranty as of the date of this Terms Agreement and the Time of Delivery in relation to the Prospectus as amended and supplemented to relate to the Purchased Shares.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An amendment to the Registration Statement (as defined in the At The Market Offering Agreement), or a supplement to the Prospectus, as the case may be, relating to the Purchased Shares, in the form heretofore delivered to the Manager is now proposed to be filed with the Securities and Exchange Commission.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Subject to the terms and conditions set forth herein and in the At The Market Offering Agreement which are incorporated herein by reference, the Company agrees to issue and sell to the Manager and the latter agrees to purchase from the Company the number of shares of the Purchased Shares at the time and place and at the purchase price set forth in the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00" w:after="100"/>
        <w:jc w:val="both"/>
        <w:rPr>
          <w:rFonts w:ascii="Times New Roman" w:hAnsi="Times New Roman"/>
          <w:sz w:val="20"/>
        </w:rPr>
      </w:pPr>
      <w:r>
        <w:rPr>
          <w:rFonts w:ascii="Times New Roman" w:hAnsi="Times New Roman"/>
          <w:color w:val="000000"/>
          <w:sz w:val="24"/>
        </w:rPr>
        <w:t>If the foregoing is in accordance with your understanding, please sign and return to us a counterpart hereof, whereupon this Terms Agreement, including those provisions of the At The Market Offering Agreement incorporated herein by reference, shall constitute a binding agreement between the Manager and the Company.</w:t>
      </w:r>
      <w:r>
        <w:rPr>
          <w:rFonts w:ascii="Times New Roman" w:hAnsi="Times New Roman"/>
          <w:color w:val="000000"/>
          <w:sz w:val="20"/>
        </w:rPr>
        <w:t xml:space="preserve"> </w:t>
      </w:r>
    </w:p>
    <w:tbl>
      <w:tblPr>
        <w:tblW w:w="5070" w:type="dxa"/>
        <w:jc w:val="left"/>
        <w:tblInd w:w="0" w:type="dxa"/>
        <w:tblLayout w:type="fixed"/>
        <w:tblCellMar>
          <w:top w:w="28" w:type="dxa"/>
          <w:left w:w="28" w:type="dxa"/>
          <w:bottom w:w="28" w:type="dxa"/>
          <w:right w:w="28" w:type="dxa"/>
        </w:tblCellMar>
      </w:tblPr>
      <w:tblGrid>
        <w:gridCol w:w="1017"/>
        <w:gridCol w:w="999"/>
        <w:gridCol w:w="999"/>
        <w:gridCol w:w="999"/>
        <w:gridCol w:w="1056"/>
      </w:tblGrid>
      <w:tr>
        <w:trPr/>
        <w:tc>
          <w:tcPr>
            <w:tcW w:w="101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056"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2055"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070" w:type="dxa"/>
            <w:gridSpan w:val="5"/>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Shimmick Corporation</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By:______________________________________</w:t>
            </w:r>
          </w:p>
          <w:p>
            <w:pPr>
              <w:pStyle w:val="TableContents"/>
              <w:bidi w:val="0"/>
              <w:jc w:val="left"/>
              <w:rPr/>
            </w:pPr>
            <w:r>
              <w:rPr>
                <w:color w:val="000000"/>
              </w:rPr>
              <w:t>     </w:t>
            </w:r>
            <w:r>
              <w:rPr>
                <w:rFonts w:ascii="Times New Roman" w:hAnsi="Times New Roman"/>
                <w:color w:val="000000"/>
                <w:sz w:val="24"/>
              </w:rPr>
              <w:t xml:space="preserve">Name: </w:t>
            </w:r>
          </w:p>
          <w:p>
            <w:pPr>
              <w:pStyle w:val="TableContents"/>
              <w:bidi w:val="0"/>
              <w:spacing w:before="0" w:after="283"/>
              <w:jc w:val="left"/>
              <w:rPr/>
            </w:pPr>
            <w:r>
              <w:rPr>
                <w:color w:val="000000"/>
              </w:rPr>
              <w:t>     </w:t>
            </w:r>
            <w:r>
              <w:rPr>
                <w:rFonts w:ascii="Times New Roman" w:hAnsi="Times New Roman"/>
                <w:color w:val="000000"/>
                <w:sz w:val="24"/>
              </w:rPr>
              <w:t xml:space="preserve">Title: </w:t>
            </w:r>
          </w:p>
        </w:tc>
      </w:tr>
    </w:tbl>
    <w:p>
      <w:pPr>
        <w:pStyle w:val="TextBody"/>
        <w:bidi w:val="0"/>
        <w:jc w:val="left"/>
        <w:rPr>
          <w:rFonts w:ascii="Times New Roman" w:hAnsi="Times New Roman"/>
          <w:sz w:val="20"/>
        </w:rPr>
      </w:pPr>
      <w:r>
        <w:rPr>
          <w:rFonts w:ascii="Times New Roman" w:hAnsi="Times New Roman"/>
          <w:color w:val="000000"/>
          <w:sz w:val="24"/>
        </w:rPr>
        <w:t>ACCEPTED as of the date first written above.</w:t>
      </w:r>
      <w:r>
        <w:rPr>
          <w:rFonts w:ascii="Times New Roman" w:hAnsi="Times New Roman"/>
          <w:color w:val="000000"/>
          <w:sz w:val="20"/>
        </w:rPr>
        <w:t xml:space="preserve"> </w:t>
      </w:r>
    </w:p>
    <w:tbl>
      <w:tblPr>
        <w:tblW w:w="4090" w:type="dxa"/>
        <w:jc w:val="left"/>
        <w:tblInd w:w="0" w:type="dxa"/>
        <w:tblLayout w:type="fixed"/>
        <w:tblCellMar>
          <w:top w:w="28" w:type="dxa"/>
          <w:left w:w="28" w:type="dxa"/>
          <w:bottom w:w="28" w:type="dxa"/>
          <w:right w:w="28" w:type="dxa"/>
        </w:tblCellMar>
      </w:tblPr>
      <w:tblGrid>
        <w:gridCol w:w="821"/>
        <w:gridCol w:w="806"/>
        <w:gridCol w:w="806"/>
        <w:gridCol w:w="806"/>
        <w:gridCol w:w="851"/>
      </w:tblGrid>
      <w:tr>
        <w:trPr/>
        <w:tc>
          <w:tcPr>
            <w:tcW w:w="82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06"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06"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06"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[BANK]</w:t>
            </w:r>
          </w:p>
          <w:p>
            <w:pPr>
              <w:pStyle w:val="TableContents"/>
              <w:bidi w:val="0"/>
              <w:spacing w:before="0" w:after="283"/>
              <w:ind w:left="0" w:right="0" w:firstLine="720"/>
              <w:jc w:val="left"/>
              <w:rPr>
                <w:color w:val="000000"/>
              </w:rPr>
            </w:pPr>
            <w:r>
              <w:rPr>
                <w:color w:val="000000"/>
              </w:rPr>
            </w:r>
          </w:p>
        </w:tc>
        <w:tc>
          <w:tcPr>
            <w:tcW w:w="1657"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bl>
    <w:p>
      <w:pPr>
        <w:pStyle w:val="TextBody"/>
        <w:bidi w:val="0"/>
        <w:jc w:val="left"/>
        <w:rPr>
          <w:rFonts w:ascii="Times New Roman" w:hAnsi="Times New Roman"/>
          <w:color w:val="000000"/>
          <w:sz w:val="24"/>
        </w:rPr>
      </w:pPr>
      <w:r>
        <w:rPr>
          <w:rFonts w:ascii="Times New Roman" w:hAnsi="Times New Roman"/>
          <w:color w:val="000000"/>
          <w:sz w:val="24"/>
        </w:rPr>
        <w:t>By:__________________________________________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spacing w:before="100" w:after="10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22102</Words>
  <Characters>114898</Characters>
  <CharactersWithSpaces>136883</CharactersWithSpaces>
  <Paragraphs>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