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860"/>
        <w:spacing w:after="0"/>
        <w:rPr>
          <w:sz w:val="20"/>
          <w:szCs w:val="20"/>
          <w:color w:val="auto"/>
        </w:rPr>
      </w:pPr>
      <w:r>
        <w:rPr>
          <w:rFonts w:ascii="Cambria" w:cs="Cambria" w:eastAsia="Cambria" w:hAnsi="Cambria"/>
          <w:sz w:val="62"/>
          <w:szCs w:val="62"/>
          <w:color w:val="001B7A"/>
        </w:rPr>
        <w:t>Shimmick Corporation</w:t>
      </w:r>
    </w:p>
    <w:p>
      <w:pPr>
        <w:sectPr>
          <w:pgSz w:w="12240" w:h="15840" w:orient="portrait"/>
          <w:cols w:equalWidth="0" w:num="1">
            <w:col w:w="936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2820"/>
        <w:spacing w:after="0"/>
        <w:rPr>
          <w:sz w:val="20"/>
          <w:szCs w:val="20"/>
          <w:color w:val="auto"/>
        </w:rPr>
      </w:pPr>
      <w:r>
        <w:rPr>
          <w:rFonts w:ascii="Cambria" w:cs="Cambria" w:eastAsia="Cambria" w:hAnsi="Cambria"/>
          <w:sz w:val="43"/>
          <w:szCs w:val="43"/>
          <w:b w:val="1"/>
          <w:bCs w:val="1"/>
          <w:color w:val="001B7A"/>
        </w:rPr>
        <w:t>2023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1828800</wp:posOffset>
            </wp:positionH>
            <wp:positionV relativeFrom="paragraph">
              <wp:posOffset>1877695</wp:posOffset>
            </wp:positionV>
            <wp:extent cx="2510790" cy="127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0790" cy="127889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457200</wp:posOffset>
            </wp:positionV>
            <wp:extent cx="1514475" cy="770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14475" cy="770890"/>
                    </a:xfrm>
                    <a:prstGeom prst="rect">
                      <a:avLst/>
                    </a:prstGeom>
                    <a:noFill/>
                  </pic:spPr>
                </pic:pic>
              </a:graphicData>
            </a:graphic>
          </wp:anchor>
        </w:drawing>
      </w:r>
    </w:p>
    <w:p>
      <w:pPr>
        <w:ind w:left="1400"/>
        <w:spacing w:after="0"/>
        <w:rPr>
          <w:sz w:val="20"/>
          <w:szCs w:val="20"/>
          <w:color w:val="auto"/>
        </w:rPr>
      </w:pPr>
      <w:r>
        <w:rPr>
          <w:rFonts w:ascii="Cambria" w:cs="Cambria" w:eastAsia="Cambria" w:hAnsi="Cambria"/>
          <w:sz w:val="52"/>
          <w:szCs w:val="52"/>
          <w:color w:val="000021"/>
        </w:rPr>
        <w:t>A LETTER FROM OUR CEO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191770</wp:posOffset>
                </wp:positionV>
                <wp:extent cx="588645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6450" cy="4763"/>
                        </a:xfrm>
                        <a:prstGeom prst="line">
                          <a:avLst/>
                        </a:prstGeom>
                        <a:solidFill>
                          <a:srgbClr val="FFFFFF"/>
                        </a:solidFill>
                        <a:ln w="38100">
                          <a:solidFill>
                            <a:srgbClr val="2E49A1"/>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499pt,15.1pt" to="462.85pt,15.1pt" o:allowincell="f" strokecolor="#2E49A1" strokeweight="3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878205</wp:posOffset>
                </wp:positionV>
                <wp:extent cx="588645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6450" cy="4763"/>
                        </a:xfrm>
                        <a:prstGeom prst="line">
                          <a:avLst/>
                        </a:prstGeom>
                        <a:solidFill>
                          <a:srgbClr val="FFFFFF"/>
                        </a:solidFill>
                        <a:ln w="38100">
                          <a:solidFill>
                            <a:srgbClr val="2E49A1"/>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15pt" to="463.5pt,69.15pt" o:allowincell="f" strokecolor="#2E49A1"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22"/>
          <w:szCs w:val="22"/>
          <w:color w:val="auto"/>
        </w:rPr>
        <w:t>Dear Stockholders,</w:t>
      </w:r>
    </w:p>
    <w:p>
      <w:pPr>
        <w:spacing w:after="0" w:line="244" w:lineRule="exact"/>
        <w:rPr>
          <w:sz w:val="20"/>
          <w:szCs w:val="20"/>
          <w:color w:val="auto"/>
        </w:rPr>
      </w:pPr>
    </w:p>
    <w:p>
      <w:pPr>
        <w:spacing w:after="0"/>
        <w:rPr>
          <w:sz w:val="20"/>
          <w:szCs w:val="20"/>
          <w:color w:val="auto"/>
        </w:rPr>
      </w:pPr>
      <w:r>
        <w:rPr>
          <w:rFonts w:ascii="Calibri" w:cs="Calibri" w:eastAsia="Calibri" w:hAnsi="Calibri"/>
          <w:sz w:val="22"/>
          <w:szCs w:val="22"/>
          <w:color w:val="auto"/>
        </w:rPr>
        <w:t>I appreciate the opportunity to write to you today as the CEO of Shimmick Corporation.</w:t>
      </w:r>
    </w:p>
    <w:p>
      <w:pPr>
        <w:spacing w:after="0" w:line="269" w:lineRule="exact"/>
        <w:rPr>
          <w:sz w:val="20"/>
          <w:szCs w:val="20"/>
          <w:color w:val="auto"/>
        </w:rPr>
      </w:pPr>
    </w:p>
    <w:p>
      <w:pPr>
        <w:ind w:right="40"/>
        <w:spacing w:after="0" w:line="246" w:lineRule="auto"/>
        <w:rPr>
          <w:sz w:val="20"/>
          <w:szCs w:val="20"/>
          <w:color w:val="auto"/>
        </w:rPr>
      </w:pPr>
      <w:r>
        <w:rPr>
          <w:rFonts w:ascii="Calibri" w:cs="Calibri" w:eastAsia="Calibri" w:hAnsi="Calibri"/>
          <w:sz w:val="22"/>
          <w:szCs w:val="22"/>
          <w:color w:val="auto"/>
        </w:rPr>
        <w:t>Fiscal year 2023 was a milestone year for Shimmick which culminated in November with the successful completion of our Initial Public Offering (IPO) on the Nasdaq Global Market. An IPO was the logical next step in our Company’s lifecycle. We are excited to be a public company and look forward to generating stockholder value for years to come.</w:t>
      </w:r>
    </w:p>
    <w:p>
      <w:pPr>
        <w:spacing w:after="0" w:line="240" w:lineRule="exact"/>
        <w:rPr>
          <w:sz w:val="20"/>
          <w:szCs w:val="20"/>
          <w:color w:val="auto"/>
        </w:rPr>
      </w:pPr>
    </w:p>
    <w:p>
      <w:pPr>
        <w:spacing w:after="0" w:line="244" w:lineRule="auto"/>
        <w:rPr>
          <w:sz w:val="20"/>
          <w:szCs w:val="20"/>
          <w:color w:val="auto"/>
        </w:rPr>
      </w:pPr>
      <w:r>
        <w:rPr>
          <w:rFonts w:ascii="Calibri" w:cs="Calibri" w:eastAsia="Calibri" w:hAnsi="Calibri"/>
          <w:sz w:val="22"/>
          <w:szCs w:val="22"/>
          <w:color w:val="auto"/>
        </w:rPr>
        <w:t>Every day, our team at Shimmick is committed to solving one of the most pressing issues in our country: the aging and deteriorating water infrastructure. We believe the next 10 years will present the largest opportunity in our industry’s history, supported by key federal funding legislation, and Shimmick is well positioned to capture significant growth during that time. Shimmick plays a key role delivering clean drinking water as well as treating wastewater which is essential to sustaining communities, public health, and marine ecosystems.</w:t>
      </w:r>
    </w:p>
    <w:p>
      <w:pPr>
        <w:spacing w:after="0" w:line="241" w:lineRule="exact"/>
        <w:rPr>
          <w:sz w:val="20"/>
          <w:szCs w:val="20"/>
          <w:color w:val="auto"/>
        </w:rPr>
      </w:pPr>
    </w:p>
    <w:p>
      <w:pPr>
        <w:ind w:right="100"/>
        <w:spacing w:after="0" w:line="243" w:lineRule="auto"/>
        <w:rPr>
          <w:sz w:val="20"/>
          <w:szCs w:val="20"/>
          <w:color w:val="auto"/>
        </w:rPr>
      </w:pPr>
      <w:r>
        <w:rPr>
          <w:rFonts w:ascii="Calibri" w:cs="Calibri" w:eastAsia="Calibri" w:hAnsi="Calibri"/>
          <w:sz w:val="22"/>
          <w:szCs w:val="22"/>
          <w:color w:val="auto"/>
        </w:rPr>
        <w:t>Our growth strategy consists of both organic and inorganic opportunities. We plan to grow organically by transforming our backlog from Legacy Projects, those secured before becoming an independent company, to newer Shimmick Projects. Our new strategy focuses on water infrastructure projects with higher margin profiles. We will continue to implement risk controls to deliver consistent and sustainable results. We focus on project execution to deliver high quality work, safely and profitably, from beginning to end. As evidence of our successful strategy execution, Shimmick secured, among other work, two key water infrastructure contracts in 2023, more than $250 million in new work.</w:t>
      </w:r>
    </w:p>
    <w:p>
      <w:pPr>
        <w:spacing w:after="0" w:line="246" w:lineRule="exact"/>
        <w:rPr>
          <w:sz w:val="20"/>
          <w:szCs w:val="20"/>
          <w:color w:val="auto"/>
        </w:rPr>
      </w:pPr>
    </w:p>
    <w:p>
      <w:pPr>
        <w:ind w:right="480"/>
        <w:spacing w:after="0" w:line="246" w:lineRule="auto"/>
        <w:rPr>
          <w:sz w:val="20"/>
          <w:szCs w:val="20"/>
          <w:color w:val="auto"/>
        </w:rPr>
      </w:pPr>
      <w:r>
        <w:rPr>
          <w:rFonts w:ascii="Calibri" w:cs="Calibri" w:eastAsia="Calibri" w:hAnsi="Calibri"/>
          <w:sz w:val="22"/>
          <w:szCs w:val="22"/>
          <w:color w:val="auto"/>
        </w:rPr>
        <w:t>On the inorganic side, we believe that there are numerous opportunities to add complementary water services to the Shimmick portfolio. We have a unique vantage point from which to evaluate strategic opportunities in the water infrastructure market such as smart water, data, software, remediation, and O&amp;M, all of which are evolving or highly fragmented and ripe for consolidation.</w:t>
      </w:r>
    </w:p>
    <w:p>
      <w:pPr>
        <w:spacing w:after="0" w:line="240" w:lineRule="exact"/>
        <w:rPr>
          <w:sz w:val="20"/>
          <w:szCs w:val="20"/>
          <w:color w:val="auto"/>
        </w:rPr>
      </w:pPr>
    </w:p>
    <w:p>
      <w:pPr>
        <w:ind w:right="60"/>
        <w:spacing w:after="0" w:line="245" w:lineRule="auto"/>
        <w:rPr>
          <w:sz w:val="20"/>
          <w:szCs w:val="20"/>
          <w:color w:val="auto"/>
        </w:rPr>
      </w:pPr>
      <w:r>
        <w:rPr>
          <w:rFonts w:ascii="Calibri" w:cs="Calibri" w:eastAsia="Calibri" w:hAnsi="Calibri"/>
          <w:sz w:val="22"/>
          <w:szCs w:val="22"/>
          <w:color w:val="auto"/>
        </w:rPr>
        <w:t>For fiscal year 2023, we delivered strong financial results with revenue of $633 million and Adjusted EBITDA of $30 million. Specifically related to Shimmick Projects, which are defined as projects started after the AECOM Sale Transactions, we realized 24% revenue growth and achieved gross margins of 7% in 2023. Over the past three years, we have made excellent progress on this front, growing our Shimmick Projects backlog to 82% from 44% and maintain a healthy backlog of $1.1 billion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718820</wp:posOffset>
            </wp:positionV>
            <wp:extent cx="6155055" cy="481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6155055" cy="481330"/>
                    </a:xfrm>
                    <a:prstGeom prst="rect">
                      <a:avLst/>
                    </a:prstGeom>
                    <a:noFill/>
                  </pic:spPr>
                </pic:pic>
              </a:graphicData>
            </a:graphic>
          </wp:anchor>
        </w:drawing>
      </w:r>
    </w:p>
    <w:p>
      <w:pPr>
        <w:sectPr>
          <w:pgSz w:w="12240" w:h="15840" w:orient="portrait"/>
          <w:cols w:equalWidth="0" w:num="1">
            <w:col w:w="9700"/>
          </w:cols>
          <w:pgMar w:left="1440" w:top="1440" w:right="110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457200</wp:posOffset>
            </wp:positionV>
            <wp:extent cx="1514475" cy="770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14475" cy="77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4" w:lineRule="auto"/>
        <w:rPr>
          <w:sz w:val="20"/>
          <w:szCs w:val="20"/>
          <w:color w:val="auto"/>
        </w:rPr>
      </w:pPr>
      <w:r>
        <w:rPr>
          <w:rFonts w:ascii="Calibri" w:cs="Calibri" w:eastAsia="Calibri" w:hAnsi="Calibri"/>
          <w:sz w:val="22"/>
          <w:szCs w:val="22"/>
          <w:color w:val="auto"/>
        </w:rPr>
        <w:t>Our mission is to deliver resilient, sustainable, and efficient water infrastructure solutions that support communities, protect the environment, and ensure the availability of clean water for generations to come. Our core values – Safety, Achievement, Transparency, Empowerment and Responsibility, Authentic Relationships, and Mutual Trust and Support – guide this mission and everything we do. Our journey in the public markets began this year and we look forward to continued success. We are keenly focused on executing our growth strategy while solving the United States’ most critical water infrastructure needs.</w:t>
      </w:r>
    </w:p>
    <w:p>
      <w:pPr>
        <w:spacing w:after="0" w:line="241" w:lineRule="exact"/>
        <w:rPr>
          <w:sz w:val="20"/>
          <w:szCs w:val="20"/>
          <w:color w:val="auto"/>
        </w:rPr>
      </w:pPr>
    </w:p>
    <w:p>
      <w:pPr>
        <w:jc w:val="both"/>
        <w:ind w:right="180"/>
        <w:spacing w:after="0" w:line="251" w:lineRule="auto"/>
        <w:rPr>
          <w:sz w:val="20"/>
          <w:szCs w:val="20"/>
          <w:color w:val="auto"/>
        </w:rPr>
      </w:pPr>
      <w:r>
        <w:rPr>
          <w:rFonts w:ascii="Calibri" w:cs="Calibri" w:eastAsia="Calibri" w:hAnsi="Calibri"/>
          <w:sz w:val="22"/>
          <w:szCs w:val="22"/>
          <w:color w:val="auto"/>
        </w:rPr>
        <w:t>I would like to thank our employees for their contribution throughout this year. I would also like to thank you, our stockholders, for your ongoing support and belief in our business working towards the common goal.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0"/>
        <w:spacing w:after="0"/>
        <w:rPr>
          <w:sz w:val="20"/>
          <w:szCs w:val="20"/>
          <w:color w:val="auto"/>
        </w:rPr>
      </w:pPr>
      <w:r>
        <w:rPr>
          <w:rFonts w:ascii="Calibri" w:cs="Calibri" w:eastAsia="Calibri" w:hAnsi="Calibri"/>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120650</wp:posOffset>
            </wp:positionV>
            <wp:extent cx="2087245" cy="476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2087245"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00"/>
        <w:spacing w:after="0"/>
        <w:rPr>
          <w:sz w:val="20"/>
          <w:szCs w:val="20"/>
          <w:color w:val="auto"/>
        </w:rPr>
      </w:pPr>
      <w:r>
        <w:rPr>
          <w:rFonts w:ascii="Calibri" w:cs="Calibri" w:eastAsia="Calibri" w:hAnsi="Calibri"/>
          <w:sz w:val="22"/>
          <w:szCs w:val="22"/>
          <w:color w:val="auto"/>
        </w:rPr>
        <w:t>Steve Richards</w:t>
      </w:r>
    </w:p>
    <w:p>
      <w:pPr>
        <w:spacing w:after="0" w:line="25" w:lineRule="exact"/>
        <w:rPr>
          <w:sz w:val="20"/>
          <w:szCs w:val="20"/>
          <w:color w:val="auto"/>
        </w:rPr>
      </w:pPr>
    </w:p>
    <w:p>
      <w:pPr>
        <w:ind w:left="3600"/>
        <w:spacing w:after="0"/>
        <w:rPr>
          <w:sz w:val="20"/>
          <w:szCs w:val="20"/>
          <w:color w:val="auto"/>
        </w:rPr>
      </w:pPr>
      <w:r>
        <w:rPr>
          <w:rFonts w:ascii="Calibri" w:cs="Calibri" w:eastAsia="Calibri" w:hAnsi="Calibri"/>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3959860</wp:posOffset>
            </wp:positionV>
            <wp:extent cx="6155055" cy="481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155055" cy="481330"/>
                    </a:xfrm>
                    <a:prstGeom prst="rect">
                      <a:avLst/>
                    </a:prstGeom>
                    <a:noFill/>
                  </pic:spPr>
                </pic:pic>
              </a:graphicData>
            </a:graphic>
          </wp:anchor>
        </w:drawing>
      </w:r>
    </w:p>
    <w:p>
      <w:pPr>
        <w:sectPr>
          <w:pgSz w:w="12240" w:h="15840" w:orient="portrait"/>
          <w:cols w:equalWidth="0" w:num="1">
            <w:col w:w="9540"/>
          </w:cols>
          <w:pgMar w:left="1440" w:top="1440" w:right="126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503555</wp:posOffset>
                </wp:positionV>
                <wp:extent cx="68948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39.65pt" to="577.45pt,39.65pt" o:allowincell="f" strokecolor="#000000" strokeweight="0.75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-213995</wp:posOffset>
                </wp:positionV>
                <wp:extent cx="68948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6.8499pt" to="541.45pt,-16.8499pt" o:allowincell="f" strokecolor="#000000" strokeweight="0.75pt"/>
            </w:pict>
          </mc:Fallback>
        </mc:AlternateConten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57150</wp:posOffset>
                </wp:positionV>
                <wp:extent cx="140843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5pt" to="325.45pt,4.5pt" o:allowincell="f" strokecolor="#000000" strokeweight="1pt"/>
            </w:pict>
          </mc:Fallback>
        </mc:AlternateConten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89535</wp:posOffset>
                </wp:positionV>
                <wp:extent cx="140843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7.05pt" to="325.45pt,7.05pt" o:allowincell="f" strokecolor="#000000" strokeweight="1pt"/>
            </w:pict>
          </mc:Fallback>
        </mc:AlternateConten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 w:lineRule="exact"/>
        <w:rPr>
          <w:sz w:val="20"/>
          <w:szCs w:val="20"/>
          <w:color w:val="auto"/>
        </w:rPr>
      </w:pPr>
    </w:p>
    <w:p>
      <w:pPr>
        <w:ind w:left="440" w:hanging="440"/>
        <w:spacing w:after="0"/>
        <w:tabs>
          <w:tab w:leader="none" w:pos="440" w:val="left"/>
        </w:tabs>
        <w:numPr>
          <w:ilvl w:val="0"/>
          <w:numId w:val="1"/>
        </w:numPr>
        <w:rPr>
          <w:rFonts w:ascii="PMingLiU" w:cs="PMingLiU" w:eastAsia="PMingLiU" w:hAnsi="PMingLiU"/>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29, 2023</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0" w:lineRule="exact"/>
        <w:rPr>
          <w:sz w:val="20"/>
          <w:szCs w:val="20"/>
          <w:color w:val="auto"/>
        </w:rPr>
      </w:pPr>
    </w:p>
    <w:p>
      <w:pPr>
        <w:ind w:left="440" w:hanging="440"/>
        <w:spacing w:after="0"/>
        <w:tabs>
          <w:tab w:leader="none" w:pos="440" w:val="left"/>
        </w:tabs>
        <w:numPr>
          <w:ilvl w:val="0"/>
          <w:numId w:val="2"/>
        </w:numPr>
        <w:rPr>
          <w:rFonts w:ascii="PMingLiU" w:cs="PMingLiU" w:eastAsia="PMingLiU" w:hAnsi="PMingLiU"/>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28" w:lineRule="exact"/>
        <w:rPr>
          <w:sz w:val="20"/>
          <w:szCs w:val="20"/>
          <w:color w:val="auto"/>
        </w:rPr>
      </w:pPr>
    </w:p>
    <w:p>
      <w:pPr>
        <w:ind w:left="440"/>
        <w:spacing w:after="0"/>
        <w:tabs>
          <w:tab w:leader="none" w:pos="388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001-41867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77470</wp:posOffset>
                </wp:positionV>
                <wp:extent cx="140843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1pt" to="325.45pt,6.1pt" o:allowincell="f" strokecolor="#000000" strokeweight="1pt"/>
            </w:pict>
          </mc:Fallback>
        </mc:AlternateConten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Shimmick Corporation</w:t>
      </w:r>
    </w:p>
    <w:p>
      <w:pPr>
        <w:sectPr>
          <w:pgSz w:w="12240" w:h="15840" w:orient="portrait"/>
          <w:cols w:equalWidth="0" w:num="1">
            <w:col w:w="10800"/>
          </w:cols>
          <w:pgMar w:left="720" w:top="792" w:right="720" w:bottom="819" w:gutter="0" w:footer="0" w:header="0"/>
        </w:sectPr>
      </w:pP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57785</wp:posOffset>
                </wp:positionV>
                <wp:extent cx="140843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55pt" to="325.45pt,4.55pt" o:allowincell="f" strokecolor="#000000" strokeweight="1pt"/>
            </w:pict>
          </mc:Fallback>
        </mc:AlternateContent>
      </w:r>
    </w:p>
    <w:p>
      <w:pPr>
        <w:spacing w:after="0" w:line="127"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8"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9"/>
          <w:szCs w:val="19"/>
          <w:b w:val="1"/>
          <w:bCs w:val="1"/>
          <w:color w:val="auto"/>
        </w:rPr>
        <w:t>530 Technology Drive</w:t>
      </w:r>
    </w:p>
    <w:p>
      <w:pPr>
        <w:spacing w:after="0" w:line="34"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20"/>
          <w:szCs w:val="20"/>
          <w:b w:val="1"/>
          <w:bCs w:val="1"/>
          <w:color w:val="auto"/>
        </w:rPr>
        <w:t>Suite 300</w:t>
      </w:r>
    </w:p>
    <w:p>
      <w:pPr>
        <w:spacing w:after="0" w:line="1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20"/>
          <w:szCs w:val="20"/>
          <w:b w:val="1"/>
          <w:bCs w:val="1"/>
          <w:color w:val="auto"/>
        </w:rPr>
        <w:t>Irvine, CA</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84-3749368</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92618</w:t>
      </w:r>
    </w:p>
    <w:p>
      <w:pPr>
        <w:spacing w:after="0" w:line="29" w:lineRule="exact"/>
        <w:rPr>
          <w:sz w:val="20"/>
          <w:szCs w:val="20"/>
          <w:color w:val="auto"/>
        </w:rPr>
      </w:pPr>
    </w:p>
    <w:p>
      <w:pPr>
        <w:sectPr>
          <w:pgSz w:w="12240" w:h="15840" w:orient="portrait"/>
          <w:cols w:equalWidth="0" w:num="2">
            <w:col w:w="7420" w:space="120"/>
            <w:col w:w="3260"/>
          </w:cols>
          <w:pgMar w:left="720" w:top="792" w:right="720" w:bottom="819" w:gutter="0" w:footer="0" w:header="0"/>
          <w:type w:val="continuous"/>
        </w:sectPr>
      </w:pPr>
    </w:p>
    <w:p>
      <w:pPr>
        <w:ind w:left="154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75565</wp:posOffset>
                </wp:positionV>
                <wp:extent cx="140843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95pt" to="325.45pt,5.95pt" o:allowincell="f" strokecolor="#000000" strokeweight="1pt"/>
            </w:pict>
          </mc:Fallback>
        </mc:AlternateConten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r>
      <w:tr>
        <w:trPr>
          <w:trHeight w:val="203"/>
        </w:trPr>
        <w:tc>
          <w:tcPr>
            <w:tcW w:w="45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7"/>
                <w:szCs w:val="17"/>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7"/>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SHIM</w:t>
            </w:r>
          </w:p>
        </w:tc>
        <w:tc>
          <w:tcPr>
            <w:tcW w:w="10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NASDAQ</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spacing w:after="0"/>
              <w:rPr>
                <w:sz w:val="18"/>
                <w:szCs w:val="18"/>
                <w:color w:val="auto"/>
              </w:rPr>
            </w:pPr>
          </w:p>
        </w:tc>
      </w:tr>
    </w:tbl>
    <w:p>
      <w:pPr>
        <w:spacing w:after="0" w:line="28" w:lineRule="exact"/>
        <w:rPr>
          <w:sz w:val="20"/>
          <w:szCs w:val="20"/>
          <w:color w:val="auto"/>
        </w:rPr>
      </w:pPr>
    </w:p>
    <w:p>
      <w:pPr>
        <w:ind w:right="2700"/>
        <w:spacing w:after="0" w:line="252"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 xml:space="preserve"> NO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 xml:space="preserve"> NO </w:t>
      </w:r>
      <w:r>
        <w:rPr>
          <w:rFonts w:ascii="PMingLiU" w:cs="PMingLiU" w:eastAsia="PMingLiU" w:hAnsi="PMingLiU"/>
          <w:sz w:val="15"/>
          <w:szCs w:val="15"/>
          <w:b w:val="1"/>
          <w:bCs w:val="1"/>
          <w:color w:val="auto"/>
        </w:rPr>
        <w:t/>
      </w:r>
    </w:p>
    <w:p>
      <w:pPr>
        <w:spacing w:after="0" w:line="16" w:lineRule="exact"/>
        <w:rPr>
          <w:sz w:val="20"/>
          <w:szCs w:val="20"/>
          <w:color w:val="auto"/>
        </w:rPr>
      </w:pPr>
    </w:p>
    <w:p>
      <w:pPr>
        <w:ind w:right="120"/>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 xml:space="preserve"> NO </w:t>
      </w:r>
      <w:r>
        <w:rPr>
          <w:rFonts w:ascii="PMingLiU" w:cs="PMingLiU" w:eastAsia="PMingLiU" w:hAnsi="PMingLiU"/>
          <w:sz w:val="15"/>
          <w:szCs w:val="15"/>
          <w:b w:val="1"/>
          <w:bCs w:val="1"/>
          <w:color w:val="auto"/>
        </w:rPr>
        <w:t/>
      </w:r>
    </w:p>
    <w:p>
      <w:pPr>
        <w:spacing w:after="0" w:line="16" w:lineRule="exact"/>
        <w:rPr>
          <w:sz w:val="20"/>
          <w:szCs w:val="20"/>
          <w:color w:val="auto"/>
        </w:rPr>
      </w:pPr>
    </w:p>
    <w:p>
      <w:pPr>
        <w:ind w:right="120"/>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 xml:space="preserve"> NO </w:t>
      </w:r>
      <w:r>
        <w:rPr>
          <w:rFonts w:ascii="PMingLiU" w:cs="PMingLiU" w:eastAsia="PMingLiU" w:hAnsi="PMingLiU"/>
          <w:sz w:val="15"/>
          <w:szCs w:val="15"/>
          <w:b w:val="1"/>
          <w:bCs w:val="1"/>
          <w:color w:val="auto"/>
        </w:rPr>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80" w:type="dxa"/>
            <w:vAlign w:val="bottom"/>
          </w:tcPr>
          <w:p>
            <w:pPr>
              <w:jc w:val="right"/>
              <w:ind w:right="2925"/>
              <w:spacing w:after="0" w:line="180" w:lineRule="exact"/>
              <w:rPr>
                <w:sz w:val="20"/>
                <w:szCs w:val="20"/>
                <w:color w:val="auto"/>
              </w:rPr>
            </w:pPr>
            <w:r>
              <w:rPr>
                <w:rFonts w:ascii="PMingLiU" w:cs="PMingLiU" w:eastAsia="PMingLiU" w:hAnsi="PMingLiU"/>
                <w:sz w:val="15"/>
                <w:szCs w:val="15"/>
                <w:b w:val="1"/>
                <w:bCs w:val="1"/>
                <w:color w:val="auto"/>
              </w:rPr>
              <w:t/>
            </w:r>
          </w:p>
        </w:tc>
        <w:tc>
          <w:tcPr>
            <w:tcW w:w="49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440" w:type="dxa"/>
            <w:vAlign w:val="bottom"/>
          </w:tcPr>
          <w:p>
            <w:pPr>
              <w:jc w:val="right"/>
              <w:spacing w:after="0" w:line="180" w:lineRule="exact"/>
              <w:rPr>
                <w:sz w:val="20"/>
                <w:szCs w:val="20"/>
                <w:color w:val="auto"/>
              </w:rPr>
            </w:pPr>
            <w:r>
              <w:rPr>
                <w:rFonts w:ascii="PMingLiU" w:cs="PMingLiU" w:eastAsia="PMingLiU" w:hAnsi="PMingLiU"/>
                <w:sz w:val="15"/>
                <w:szCs w:val="15"/>
                <w:b w:val="1"/>
                <w:bCs w:val="1"/>
                <w:color w:val="auto"/>
              </w:rPr>
              <w:t/>
            </w:r>
          </w:p>
        </w:tc>
      </w:tr>
      <w:tr>
        <w:trPr>
          <w:trHeight w:val="27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80" w:type="dxa"/>
            <w:vAlign w:val="bottom"/>
          </w:tcPr>
          <w:p>
            <w:pPr>
              <w:jc w:val="right"/>
              <w:ind w:right="2925"/>
              <w:spacing w:after="0" w:line="180" w:lineRule="exact"/>
              <w:rPr>
                <w:sz w:val="20"/>
                <w:szCs w:val="20"/>
                <w:color w:val="auto"/>
              </w:rPr>
            </w:pPr>
            <w:r>
              <w:rPr>
                <w:rFonts w:ascii="PMingLiU" w:cs="PMingLiU" w:eastAsia="PMingLiU" w:hAnsi="PMingLiU"/>
                <w:sz w:val="15"/>
                <w:szCs w:val="15"/>
                <w:b w:val="1"/>
                <w:bCs w:val="1"/>
                <w:color w:val="auto"/>
              </w:rPr>
              <w:t/>
            </w:r>
          </w:p>
        </w:tc>
        <w:tc>
          <w:tcPr>
            <w:tcW w:w="49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40" w:type="dxa"/>
            <w:vAlign w:val="bottom"/>
          </w:tcPr>
          <w:p>
            <w:pPr>
              <w:jc w:val="right"/>
              <w:spacing w:after="0" w:line="180" w:lineRule="exact"/>
              <w:rPr>
                <w:sz w:val="20"/>
                <w:szCs w:val="20"/>
                <w:color w:val="auto"/>
              </w:rPr>
            </w:pPr>
            <w:r>
              <w:rPr>
                <w:rFonts w:ascii="PMingLiU" w:cs="PMingLiU" w:eastAsia="PMingLiU" w:hAnsi="PMingLiU"/>
                <w:sz w:val="15"/>
                <w:szCs w:val="15"/>
                <w:b w:val="1"/>
                <w:bCs w:val="1"/>
                <w:color w:val="auto"/>
              </w:rPr>
              <w:t/>
            </w:r>
          </w:p>
        </w:tc>
      </w:tr>
      <w:tr>
        <w:trPr>
          <w:trHeight w:val="27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80" w:type="dxa"/>
            <w:vAlign w:val="bottom"/>
          </w:tcPr>
          <w:p>
            <w:pPr>
              <w:jc w:val="right"/>
              <w:ind w:right="2925"/>
              <w:spacing w:after="0" w:line="180" w:lineRule="exact"/>
              <w:rPr>
                <w:sz w:val="20"/>
                <w:szCs w:val="20"/>
                <w:color w:val="auto"/>
              </w:rPr>
            </w:pPr>
            <w:r>
              <w:rPr>
                <w:rFonts w:ascii="PMingLiU" w:cs="PMingLiU" w:eastAsia="PMingLiU" w:hAnsi="PMingLiU"/>
                <w:sz w:val="15"/>
                <w:szCs w:val="15"/>
                <w:b w:val="1"/>
                <w:bCs w:val="1"/>
                <w:color w:val="auto"/>
              </w:rPr>
              <w:t/>
            </w:r>
          </w:p>
        </w:tc>
        <w:tc>
          <w:tcPr>
            <w:tcW w:w="49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25" w:lineRule="exact"/>
        <w:rPr>
          <w:sz w:val="20"/>
          <w:szCs w:val="20"/>
          <w:color w:val="auto"/>
        </w:rPr>
      </w:pPr>
    </w:p>
    <w:p>
      <w:pPr>
        <w:ind w:right="360"/>
        <w:spacing w:after="0" w:line="208"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5"/>
          <w:szCs w:val="15"/>
          <w:b w:val="1"/>
          <w:bCs w:val="1"/>
          <w:color w:val="auto"/>
        </w:rPr>
        <w:t/>
      </w:r>
    </w:p>
    <w:p>
      <w:pPr>
        <w:spacing w:after="0" w:line="16" w:lineRule="exact"/>
        <w:rPr>
          <w:sz w:val="20"/>
          <w:szCs w:val="20"/>
          <w:color w:val="auto"/>
        </w:rPr>
      </w:pPr>
    </w:p>
    <w:p>
      <w:pPr>
        <w:ind w:right="580"/>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b w:val="1"/>
          <w:bCs w:val="1"/>
          <w:color w:val="auto"/>
        </w:rPr>
        <w:t/>
      </w:r>
    </w:p>
    <w:p>
      <w:pPr>
        <w:spacing w:after="0" w:line="16" w:lineRule="exact"/>
        <w:rPr>
          <w:sz w:val="20"/>
          <w:szCs w:val="20"/>
          <w:color w:val="auto"/>
        </w:rPr>
      </w:pPr>
    </w:p>
    <w:p>
      <w:pPr>
        <w:ind w:right="40"/>
        <w:spacing w:after="0" w:line="208"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5"/>
          <w:szCs w:val="15"/>
          <w:b w:val="1"/>
          <w:bCs w:val="1"/>
          <w:color w:val="auto"/>
        </w:rPr>
        <w:t/>
      </w:r>
    </w:p>
    <w:p>
      <w:pPr>
        <w:spacing w:after="0" w:line="16" w:lineRule="exact"/>
        <w:rPr>
          <w:sz w:val="20"/>
          <w:szCs w:val="20"/>
          <w:color w:val="auto"/>
        </w:rPr>
      </w:pPr>
    </w:p>
    <w:p>
      <w:pPr>
        <w:ind w:right="700"/>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5"/>
          <w:szCs w:val="15"/>
          <w:b w:val="1"/>
          <w:bCs w:val="1"/>
          <w:color w:val="auto"/>
        </w:rPr>
        <w:t/>
      </w:r>
    </w:p>
    <w:p>
      <w:pPr>
        <w:spacing w:after="0" w:line="12" w:lineRule="exact"/>
        <w:rPr>
          <w:sz w:val="20"/>
          <w:szCs w:val="20"/>
          <w:color w:val="auto"/>
        </w:rPr>
      </w:pPr>
    </w:p>
    <w:p>
      <w:pPr>
        <w:spacing w:after="0" w:line="219" w:lineRule="exact"/>
        <w:tabs>
          <w:tab w:leader="none" w:pos="750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ab/>
        <w:t xml:space="preserve">NO </w:t>
      </w:r>
      <w:r>
        <w:rPr>
          <w:rFonts w:ascii="PMingLiU" w:cs="PMingLiU" w:eastAsia="PMingLiU" w:hAnsi="PMingLiU"/>
          <w:sz w:val="18"/>
          <w:szCs w:val="18"/>
          <w:b w:val="1"/>
          <w:bCs w:val="1"/>
          <w:color w:val="auto"/>
        </w:rPr>
        <w:t/>
      </w:r>
    </w:p>
    <w:p>
      <w:pPr>
        <w:spacing w:after="0" w:line="14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The registrant was not a public company as of June 30, 2023, the last business day of its most recently computed second fiscal quarter, and therefore cannot calculate the aggregate market value of the voting and non-voting common equity held by non-affiliates as of such date. The registrant’s common stock began trading on the Nasdaq Global Market on November 14, 2023.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par value $0.01 per share, outstanding as of March 25, 2024 was 25,575,344.</w:t>
      </w:r>
    </w:p>
    <w:p>
      <w:pPr>
        <w:spacing w:after="0" w:line="6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6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5"/>
          <w:szCs w:val="15"/>
          <w:color w:val="auto"/>
        </w:rPr>
        <w:t>Certain sections of the registrant's definitive Proxy Statement relating to the registrant's 2024 annual meeting of stockholders, which definitive Proxy Statement will be filed within 120 days of the end of the registrant's fiscal year,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38735</wp:posOffset>
                </wp:positionV>
                <wp:extent cx="689483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05pt" to="541.45pt,3.0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19685</wp:posOffset>
                </wp:positionV>
                <wp:extent cx="689483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55pt" to="541.45pt,1.55pt" o:allowincell="f" strokecolor="#000000" strokeweight="0.75pt"/>
            </w:pict>
          </mc:Fallback>
        </mc:AlternateContent>
      </w:r>
    </w:p>
    <w:p>
      <w:pPr>
        <w:sectPr>
          <w:pgSz w:w="12240" w:h="15840" w:orient="portrait"/>
          <w:cols w:equalWidth="0" w:num="1">
            <w:col w:w="10800"/>
          </w:cols>
          <w:pgMar w:left="720" w:top="792" w:right="720" w:bottom="819"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4"/>
        </w:trPr>
        <w:tc>
          <w:tcPr>
            <w:tcW w:w="940" w:type="dxa"/>
            <w:vAlign w:val="bottom"/>
          </w:tcPr>
          <w:p>
            <w:pPr>
              <w:spacing w:after="0"/>
              <w:rPr>
                <w:sz w:val="23"/>
                <w:szCs w:val="23"/>
                <w:color w:val="auto"/>
              </w:rPr>
            </w:pPr>
          </w:p>
        </w:tc>
        <w:tc>
          <w:tcPr>
            <w:tcW w:w="7760" w:type="dxa"/>
            <w:vAlign w:val="bottom"/>
          </w:tcPr>
          <w:p>
            <w:pPr>
              <w:ind w:left="29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7760" w:type="dxa"/>
            <w:vAlign w:val="bottom"/>
          </w:tcPr>
          <w:p>
            <w:pPr>
              <w:spacing w:after="0"/>
              <w:rPr>
                <w:sz w:val="24"/>
                <w:szCs w:val="24"/>
                <w:color w:val="auto"/>
              </w:rPr>
            </w:pPr>
          </w:p>
        </w:tc>
        <w:tc>
          <w:tcPr>
            <w:tcW w:w="6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6"/>
        </w:trPr>
        <w:tc>
          <w:tcPr>
            <w:tcW w:w="940" w:type="dxa"/>
            <w:vAlign w:val="bottom"/>
            <w:vMerge w:val="continue"/>
          </w:tcPr>
          <w:p>
            <w:pPr>
              <w:spacing w:after="0"/>
              <w:rPr>
                <w:sz w:val="19"/>
                <w:szCs w:val="19"/>
                <w:color w:val="auto"/>
              </w:rPr>
            </w:pPr>
          </w:p>
        </w:tc>
        <w:tc>
          <w:tcPr>
            <w:tcW w:w="7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5.</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Equity Securities</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10.</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7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7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1416" w:right="1440" w:bottom="244" w:gutter="0" w:footer="0" w:header="0"/>
          <w:type w:val="continuous"/>
        </w:sectPr>
      </w:pPr>
    </w:p>
    <w:bookmarkStart w:id="5" w:name="page6"/>
    <w:bookmarkEnd w:id="5"/>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Shimmick Corporation (“Shimmick”, “we”, “our”, “us”, “its” or the “Company”) makes forward-looking statements in this Annual Report on Form 10-K (“Form 10-K”)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spacing w:after="0" w:line="19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this section and the section entitled “Risk Factors,” as well as those described from time to time in our future reports with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Annual Report on Form 10-K, in presentations, on our websites, in response to questions or otherwise. We believe these factors include, but are not limited to, the following:</w:t>
      </w:r>
    </w:p>
    <w:p>
      <w:pPr>
        <w:spacing w:after="0" w:line="96" w:lineRule="exact"/>
        <w:rPr>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accurately estimate risks, requirements or costs when we bid on or negotiate a contract,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our fixed-price contracts,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qualifying as an eligible bidder for contracts,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qualified personnel, joint venture partners and subcontractors,</w:t>
      </w:r>
    </w:p>
    <w:p>
      <w:pPr>
        <w:spacing w:after="0" w:line="133"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attract and retain qualified managers and skilled employees and the impact of loss of key management,</w:t>
      </w:r>
    </w:p>
    <w:p>
      <w:pPr>
        <w:spacing w:after="0" w:line="64" w:lineRule="exact"/>
        <w:rPr>
          <w:rFonts w:ascii="Arial" w:cs="Arial" w:eastAsia="Arial" w:hAnsi="Arial"/>
          <w:sz w:val="20"/>
          <w:szCs w:val="20"/>
          <w:color w:val="auto"/>
        </w:rPr>
      </w:pPr>
    </w:p>
    <w:p>
      <w:pPr>
        <w:ind w:left="980" w:right="300" w:hanging="491"/>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higher costs to lease, acquire and maintain equipment necessary for our operations or a decline in the market value of owned equipment,</w:t>
      </w:r>
    </w:p>
    <w:p>
      <w:pPr>
        <w:spacing w:after="0" w:line="64" w:lineRule="exact"/>
        <w:rPr>
          <w:rFonts w:ascii="Arial" w:cs="Arial" w:eastAsia="Arial" w:hAnsi="Arial"/>
          <w:sz w:val="20"/>
          <w:szCs w:val="20"/>
          <w:color w:val="auto"/>
        </w:rPr>
      </w:pPr>
    </w:p>
    <w:p>
      <w:pPr>
        <w:ind w:left="980" w:right="580" w:hanging="491"/>
        <w:spacing w:after="0" w:line="276"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subcontractors failing to satisfy their obligations to us or other parties or any inability to maintain subcontractor relationships,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marketplace competition,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obtain bonding,</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limited operating history as an independent company following our separation from AECOM,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disputes with our prior owner, AECOM, and requirements to make future payments to AECOM,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AECOM defaulting on its contractual obligations under agreements in which we are beneficiary,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limited number of customers,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dependence on subcontractors and suppliers of materials,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any inability to secure sufficient aggregates,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complete a merger or acquisition or to integrate an acquired company’s business,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adjustments in our contact backlog,</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40" w:right="1440" w:bottom="175" w:gutter="0" w:footer="0" w:header="0"/>
          <w:type w:val="continuous"/>
        </w:sectPr>
      </w:pPr>
    </w:p>
    <w:bookmarkStart w:id="6" w:name="page7"/>
    <w:bookmarkEnd w:id="6"/>
    <w:p>
      <w:pPr>
        <w:ind w:left="980" w:right="18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accounting for revenue and costs involves significant estimates, as does our use of the input method of revenue recognition based on costs incurred relative to total expected costs,</w:t>
      </w:r>
    </w:p>
    <w:p>
      <w:pPr>
        <w:spacing w:after="0" w:line="64"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any failure to comply with covenants under any current indebtedness, and future indebtedness we may incur,</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adequacy of sources of liquidity,</w:t>
      </w:r>
    </w:p>
    <w:p>
      <w:pPr>
        <w:spacing w:after="0" w:line="13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attacks against, disruptions, failures or security breaches of, our information technology systems,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seasonality of our business,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pandemics and health emergencies,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commodity products price fluctuations and rising inflation and/or interest rates,</w:t>
      </w:r>
    </w:p>
    <w:p>
      <w:pPr>
        <w:spacing w:after="0" w:line="13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liabilities under environmental laws, compliance with immigration laws, and other regulatory matters, including changes in regulations and laws,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climate change,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deterioration of the U.S. economy, and</w:t>
      </w:r>
    </w:p>
    <w:p>
      <w:pPr>
        <w:spacing w:after="0" w:line="133" w:lineRule="exact"/>
        <w:rPr>
          <w:rFonts w:ascii="Arial" w:cs="Arial" w:eastAsia="Arial" w:hAnsi="Arial"/>
          <w:sz w:val="20"/>
          <w:szCs w:val="20"/>
          <w:color w:val="auto"/>
        </w:rPr>
      </w:pPr>
    </w:p>
    <w:p>
      <w:pPr>
        <w:ind w:left="980" w:right="400" w:hanging="491"/>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geopolitical risks, including those related to the war between Russia and Ukraine, the conflict in the Gaza strip, and the conflict in the Red Sea region.</w:t>
      </w:r>
    </w:p>
    <w:p>
      <w:pPr>
        <w:spacing w:after="0" w:line="16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34" w:right="1440" w:bottom="175"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 xml:space="preserve">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w:t>
      </w:r>
      <w:r>
        <w:rPr>
          <w:rFonts w:ascii="Times New Roman" w:cs="Times New Roman" w:eastAsia="Times New Roman" w:hAnsi="Times New Roman"/>
          <w:sz w:val="20"/>
          <w:szCs w:val="20"/>
          <w:i w:val="1"/>
          <w:iCs w:val="1"/>
          <w:color w:val="auto"/>
        </w:rPr>
        <w:t>Engineering News Record</w:t>
      </w:r>
      <w:r>
        <w:rPr>
          <w:rFonts w:ascii="Times New Roman" w:cs="Times New Roman" w:eastAsia="Times New Roman" w:hAnsi="Times New Roman"/>
          <w:sz w:val="20"/>
          <w:szCs w:val="20"/>
          <w:color w:val="auto"/>
        </w:rPr>
        <w:t>, in 2023, Shimmick was nationally ranked as a top ten builder of water supply (#6), dams and reservoirs (#7), and water treatment and desalination plants (#7). Shimmick is led by industry veterans, many with over 20 years of experience, and works closely with its customers to deliver complete solutions, including long-term operations and maintenance.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selectively focus on the following types of infrastructure projects:</w:t>
      </w:r>
    </w:p>
    <w:p>
      <w:pPr>
        <w:spacing w:after="0" w:line="144" w:lineRule="exact"/>
        <w:rPr>
          <w:sz w:val="20"/>
          <w:szCs w:val="20"/>
          <w:color w:val="auto"/>
        </w:rPr>
      </w:pPr>
    </w:p>
    <w:p>
      <w:pPr>
        <w:ind w:left="980" w:right="140" w:hanging="491"/>
        <w:spacing w:after="0" w:line="245"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Water Treatment: We expand, rehabilitate, upgrade, build and rebuild water and wastewater treatment infrastructure, including desalination plants. We implement complex cleantech treatment technologies including ozonation, biological activated carbon, membrane filtration, reverse osmosis, chemical treatment, and oxidation. We also conduct facility commissioning. Our projects and solutions aim to ensure access to clean and safe drinking water, protect public health, and reduce waterborne diseases. Our work contributes to protecting the environment by removing pollutants and contaminants from wastewater before it is released back into ecosystems. Additionally, water treatment infrastructure supports sustainable water management, which conserves this precious resource for future generations.</w:t>
      </w:r>
    </w:p>
    <w:p>
      <w:pPr>
        <w:spacing w:after="0" w:line="95" w:lineRule="exact"/>
        <w:rPr>
          <w:rFonts w:ascii="Arial" w:cs="Arial" w:eastAsia="Arial" w:hAnsi="Arial"/>
          <w:sz w:val="20"/>
          <w:szCs w:val="20"/>
          <w:color w:val="auto"/>
        </w:rPr>
      </w:pPr>
    </w:p>
    <w:p>
      <w:pPr>
        <w:ind w:left="980" w:right="80" w:hanging="491"/>
        <w:spacing w:after="0" w:line="247"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Water Resources: We build, expand, and improve water storage and conveyance, including dams, levees, flood control systems, pump stations, and coastal protection. We also upgrade and expand locks and dams along our nation’s waterways to enable continued emission-reduced movement of goods.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spacing w:after="0" w:line="93" w:lineRule="exact"/>
        <w:rPr>
          <w:rFonts w:ascii="Arial" w:cs="Arial" w:eastAsia="Arial" w:hAnsi="Arial"/>
          <w:sz w:val="20"/>
          <w:szCs w:val="20"/>
          <w:color w:val="auto"/>
        </w:rPr>
      </w:pPr>
    </w:p>
    <w:p>
      <w:pPr>
        <w:ind w:left="980" w:hanging="491"/>
        <w:spacing w:after="0" w:line="249"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Other Critical Infrastructure: 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w:t>
      </w:r>
    </w:p>
    <w:p>
      <w:pPr>
        <w:spacing w:after="0" w:line="19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color w:val="auto"/>
        </w:rPr>
        <w:t>As of December 29, 2023, we had a backlog of projects of approximately $1.1 billion, with over half of that amount comprised of water projects. We believe we have the ability to self-perform many of these projects, differentiating us from many of our competitors. Self-performance enables us to better control the critical aspects of our projects, reducing the risk of cost and schedule overruns.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Our History and Initial Public Offering</w:t>
      </w:r>
    </w:p>
    <w:p>
      <w:pPr>
        <w:spacing w:after="0" w:line="25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252525"/>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18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252525"/>
        </w:rPr>
        <w:t>In January 2021, we were sold by AECOM and began operating as an independent company under new private ownership ("AECOM Sale Transactions"). After the transaction, we began a transformation to shift our strategy to meet the nation’s growing need for water and other critical infrastructure and grow our business. We are also focusing more on smaller complex projects that we can largely self-perform and which we believe will have lower risk and higher margin.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16" w:right="1440" w:bottom="175" w:gutter="0" w:footer="0" w:header="0"/>
          <w:type w:val="continuous"/>
        </w:sectPr>
      </w:pPr>
    </w:p>
    <w:bookmarkStart w:id="8" w:name="page9"/>
    <w:bookmarkEnd w:id="8"/>
    <w:p>
      <w:pPr>
        <w:ind w:right="20"/>
        <w:spacing w:after="0" w:line="259" w:lineRule="auto"/>
        <w:rPr>
          <w:sz w:val="20"/>
          <w:szCs w:val="20"/>
          <w:color w:val="auto"/>
        </w:rPr>
      </w:pPr>
      <w:r>
        <w:rPr>
          <w:rFonts w:ascii="Times New Roman" w:cs="Times New Roman" w:eastAsia="Times New Roman" w:hAnsi="Times New Roman"/>
          <w:sz w:val="20"/>
          <w:szCs w:val="20"/>
          <w:color w:val="252525"/>
        </w:rPr>
        <w:t>On November 16, 2023, the Company completed its initial public offering of 3,575,000 shares of common stock at a price to the public of $7.00 per share (the “IPO”). The net proceeds to the Company from the IPO were approximately $23 million, after deducting underwriting discounts and commissions and before estimated offering expenses payable by the Company. The Company’s common stock began trading on the NASDAQ Global Market on November 14,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Our Customers</w:t>
      </w:r>
    </w:p>
    <w:p>
      <w:pPr>
        <w:spacing w:after="0" w:line="25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252525"/>
        </w:rPr>
        <w:t>Our project revenue and contracts come primarily from public sector customers such as federal, state, and local governments, including water districts, sanitation districts, irrigation districts, and flood control districts. Government funding provides financial stability and reliability, as public projects are funded by entities with the authority to collect taxes and allocate funds. Diverse funding sources — grants, appropriations, loans, state and local taxes, and user fees — reduce dependence on a single source and enhance overall market stability.</w:t>
      </w:r>
    </w:p>
    <w:p>
      <w:pPr>
        <w:spacing w:after="0" w:line="15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252525"/>
        </w:rPr>
        <w:t>Throughout our history, we have maintained and cultivated a strong presence in California. In 2023, more than half of our revenue was generated in California, the largest construction market in the United States. The amount of construction put in place for water infrastructure in California was almost $5 billion in 2023, according to Standard</w:t>
      </w:r>
    </w:p>
    <w:p>
      <w:pPr>
        <w:spacing w:after="0" w:line="1" w:lineRule="exact"/>
        <w:rPr>
          <w:sz w:val="20"/>
          <w:szCs w:val="20"/>
          <w:color w:val="auto"/>
        </w:rPr>
      </w:pPr>
    </w:p>
    <w:p>
      <w:pPr>
        <w:ind w:right="80"/>
        <w:spacing w:after="0" w:line="254" w:lineRule="auto"/>
        <w:tabs>
          <w:tab w:leader="none" w:pos="206" w:val="left"/>
        </w:tabs>
        <w:numPr>
          <w:ilvl w:val="0"/>
          <w:numId w:val="6"/>
        </w:numPr>
        <w:rPr>
          <w:rFonts w:ascii="Times New Roman" w:cs="Times New Roman" w:eastAsia="Times New Roman" w:hAnsi="Times New Roman"/>
          <w:sz w:val="20"/>
          <w:szCs w:val="20"/>
          <w:color w:val="252525"/>
        </w:rPr>
      </w:pPr>
      <w:r>
        <w:rPr>
          <w:rFonts w:ascii="Times New Roman" w:cs="Times New Roman" w:eastAsia="Times New Roman" w:hAnsi="Times New Roman"/>
          <w:sz w:val="20"/>
          <w:szCs w:val="20"/>
          <w:color w:val="252525"/>
        </w:rPr>
        <w:t>Poor's. Our revenue from water projects in California was less than 10% of the total California water market, indicating ample opportunity for us to grow our market share in California, where we believe we possess significant competitive advantages.</w:t>
      </w:r>
    </w:p>
    <w:p>
      <w:pPr>
        <w:spacing w:after="0" w:line="2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252525"/>
        </w:rPr>
        <w:t>For example, we have detailed knowledge of the California market and have developed long-standing relationships with significant customers, including public agencies across the state. In addition to long-standing relationships with our customers, our decades of industry experience have supplied us with deep knowledge of the local workforce, subcontractors, and suppliers throughout the state, which we believe provides us with a distinct pricing advantage and enables us to better manage risk.</w:t>
      </w:r>
    </w:p>
    <w:p>
      <w:pPr>
        <w:spacing w:after="0" w:line="196"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20"/>
          <w:szCs w:val="20"/>
          <w:color w:val="252525"/>
        </w:rPr>
        <w:t>We also have a long history of delivering solutions for the federal government, primarily building locks, dams, levees, and flood protection along the nation’s inland waterways and coasts. This work supports efficient transportation, which helps boost trade, reduce congestion on roads, and enhance our nation’s economy.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Our Growth Strategy</w:t>
      </w:r>
    </w:p>
    <w:p>
      <w:pPr>
        <w:spacing w:after="0" w:line="25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52525"/>
        </w:rPr>
        <w:t xml:space="preserve">Following the AECOM Sale Transactions, we began a transformation to shift our strategy to meet the nation’s growing need for water and other critical infrastructure and grow our business. We are beginning to see the benefits of that transition. Projects that were secured prior to the AECOM Sale Transactions, including large scale projects with higher risk and lower margins, are being worked off and replaced with smaller to mid-sized projects with less risk and higher margins. Our commitment to a renewed strategic focus on water infrastructure is demonstrated by the fact that we have repeatedly been ranked in the top ten for dams and reservoirs, water supply, and water treatment and desalination by </w:t>
      </w:r>
      <w:r>
        <w:rPr>
          <w:rFonts w:ascii="Times New Roman" w:cs="Times New Roman" w:eastAsia="Times New Roman" w:hAnsi="Times New Roman"/>
          <w:sz w:val="20"/>
          <w:szCs w:val="20"/>
          <w:i w:val="1"/>
          <w:iCs w:val="1"/>
          <w:color w:val="252525"/>
        </w:rPr>
        <w:t>Engineering News Record</w:t>
      </w:r>
      <w:r>
        <w:rPr>
          <w:rFonts w:ascii="Times New Roman" w:cs="Times New Roman" w:eastAsia="Times New Roman" w:hAnsi="Times New Roman"/>
          <w:sz w:val="20"/>
          <w:szCs w:val="20"/>
          <w:color w:val="252525"/>
        </w:rPr>
        <w:t>. Shimmick was again ranked in the top ten in these same sectors in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Our growth strategies are as follows:</w:t>
      </w:r>
    </w:p>
    <w:p>
      <w:pPr>
        <w:spacing w:after="0" w:line="2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i w:val="1"/>
          <w:iCs w:val="1"/>
          <w:color w:val="252525"/>
        </w:rPr>
        <w:t xml:space="preserve">Organically Grow Core Water and Critical Infrastructure Business. </w:t>
      </w:r>
      <w:r>
        <w:rPr>
          <w:rFonts w:ascii="Times New Roman" w:cs="Times New Roman" w:eastAsia="Times New Roman" w:hAnsi="Times New Roman"/>
          <w:sz w:val="20"/>
          <w:szCs w:val="20"/>
          <w:color w:val="252525"/>
        </w:rPr>
        <w:t>We seek to further expand our market share in</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water and other critical infrastructure to meet the nation’s needs for clean water, economic development, disaster mitigation, trade, and resilience. We anticipate a prolonged and growing demand for the markets we currently serve, due to, among other things, growing coastal populations, climate change, drought and severe weather events, and increased activity along the inland waterways, where, according to the most recent ASCE Report Card for Inland Waterways nearly 830 million tons of the nation’s goods are transported every year. Accordingly, we aim to increase the share of water projects as a percentage of our overall backlog. We plan to continue focusing on building infrastructure that meets our customer’s needs — like water reuse, recycling, and conservation — and capitalize on significant opportunities within our core market of California.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20" w:right="1440" w:bottom="175" w:gutter="0" w:footer="0" w:header="0"/>
          <w:type w:val="continuous"/>
        </w:sectPr>
      </w:pPr>
    </w:p>
    <w:bookmarkStart w:id="9" w:name="page10"/>
    <w:bookmarkEnd w:id="9"/>
    <w:p>
      <w:pPr>
        <w:ind w:right="220"/>
        <w:spacing w:after="0" w:line="262" w:lineRule="auto"/>
        <w:rPr>
          <w:sz w:val="20"/>
          <w:szCs w:val="20"/>
          <w:color w:val="auto"/>
        </w:rPr>
      </w:pPr>
      <w:r>
        <w:rPr>
          <w:rFonts w:ascii="Times New Roman" w:cs="Times New Roman" w:eastAsia="Times New Roman" w:hAnsi="Times New Roman"/>
          <w:sz w:val="20"/>
          <w:szCs w:val="20"/>
          <w:color w:val="252525"/>
        </w:rPr>
        <w:t>In the third quarter of 2023, Shimmick closed the sale of its Operations and Management Division. This strategic transaction allows Shimmick to further focus its efforts on growing its core water infrastructure business. The sale was an important step in our long-term strategy to focus our resources on core areas of our business in the water infrastructure market where we see the most potential for growth and innovation.</w:t>
      </w:r>
    </w:p>
    <w:p>
      <w:pPr>
        <w:spacing w:after="0" w:line="19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252525"/>
        </w:rPr>
        <w:t>We believe that by carefully positioning ourselves in markets that have meaningful barriers to entry, as discussed below, we can realize meaningful advantages. We target projects requiring highly technical or specialized scopes of work or in our core market of California, where we can leverage our deep knowledge of and relationships with customers, workforces, subcontractors, and suppliers. We believe this provides us with a distinct pricing advantage, as well as better risk management.</w:t>
      </w:r>
    </w:p>
    <w:p>
      <w:pPr>
        <w:spacing w:after="0" w:line="19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i w:val="1"/>
          <w:iCs w:val="1"/>
          <w:color w:val="252525"/>
        </w:rPr>
        <w:t xml:space="preserve">Enhance Profitability. </w:t>
      </w:r>
      <w:r>
        <w:rPr>
          <w:rFonts w:ascii="Times New Roman" w:cs="Times New Roman" w:eastAsia="Times New Roman" w:hAnsi="Times New Roman"/>
          <w:sz w:val="20"/>
          <w:szCs w:val="20"/>
          <w:color w:val="252525"/>
        </w:rPr>
        <w:t>With a consistent focus on profitability by our management team and growing demand for</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critical infrastructure, we believe we can further enhance margins through disciplined project selection and bidding. We believe that the need and funding for projects may exceed the industry’s capacity, enabling us to opportunistically target smaller specialized projects with less risk at higher margins.</w:t>
      </w:r>
    </w:p>
    <w:p>
      <w:pPr>
        <w:spacing w:after="0" w:line="19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color w:val="252525"/>
        </w:rPr>
        <w:t>We maintain a disciplined project evaluation process during which we look at a wide range of factors when determining which projects to bid. Certain criteria are considered at each stage of the pursuit process, which may include project size, location, customer, scope of work, availability of resources, anticipated competition, and project duration, among others. We selectively bid on projects that we believe offer an opportunity to meet our profitability objectives or that offer the opportunity to strategically grow our market share. In addition, we review our bidding opportunities to attempt to minimize concentration of work with any one customer or in tight labor markets.</w:t>
      </w:r>
    </w:p>
    <w:p>
      <w:pPr>
        <w:spacing w:after="0" w:line="1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52525"/>
        </w:rPr>
        <w:t>We also believe that complex projects require companies like ours to have specific technical experience, the ability to obtain surety bonds, a trained workforce, geographic presence in key markets, and specialty equipment. These requirements, among others, present certain barriers to entry, which limits competition and enables us to maintain selectivity and a desired level of profitability. Additionally, we believe the demand for services like ours is outpacing the industry’s ability to supply those services. As illustrated by several of the bids we won in 2023, we were one of just three bidders on the Folsom Dam for USACE, one of two bidders for Control Upgrades at Plant No. 2 for the Orange County Sanitation District, and the sole bidder on the Regional Water Reclamation Facility for the Elsinore Valley Municipal Water District.</w:t>
      </w:r>
    </w:p>
    <w:p>
      <w:pPr>
        <w:spacing w:after="0" w:line="20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i w:val="1"/>
          <w:iCs w:val="1"/>
          <w:color w:val="252525"/>
        </w:rPr>
        <w:t>Expand Service Offerings for Water and Critical Infrastructure Through Strategic Acquisitions</w:t>
      </w:r>
      <w:r>
        <w:rPr>
          <w:rFonts w:ascii="Times New Roman" w:cs="Times New Roman" w:eastAsia="Times New Roman" w:hAnsi="Times New Roman"/>
          <w:sz w:val="20"/>
          <w:szCs w:val="20"/>
          <w:color w:val="252525"/>
        </w:rPr>
        <w:t>. We intend to</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complement our organic growth through strategic acquisitions. We will opportunistically evaluate strategic acquisitions that would enable us to pursue complementary markets or enter new geographies where we do not have an existing footprint. Specifically, we plan to target companies that expand our existing solutions to provide additional capabilities along the water value chain, such as solutions for influent and effluent water conveyance, physical, chemical and/or biological water treatment, water testing, commissioning and operations and maintenance or other services which provide additional recurring revenue opportunities. Our industry includes a number of companies whose growth potential we believe has plateaued absent additional capital infusion or that otherwise may be seeking a liquidity event, which we believe presents opportunities for us to further our growth through strategic acquisitions. We believe with existing cash on hand, publicly traded stock and access to capital markets, will enable us to leverage our established platform and the acquisition experience of our management team positions us well to capitalize on future acquisition opportunities and accelerate our growth.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Our Projects</w:t>
      </w:r>
    </w:p>
    <w:p>
      <w:pPr>
        <w:spacing w:after="0" w:line="25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252525"/>
        </w:rPr>
        <w:t>We have historically pursued publicly funded water and other critical infrastructure projects. These projects include water and wastewater treatment, water conveyance (pipes, pump stations, irrigation and drainage channels), water storage (dams, reservoirs, weirs), flood protection (levees, flood walls), and environmental projects (species protection, fish ladders, hatcheries), as well as other critical infrastructure. These projects enhance connectivity, trade and economic growth.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right="20"/>
        <w:spacing w:after="0" w:line="254" w:lineRule="auto"/>
        <w:rPr>
          <w:sz w:val="20"/>
          <w:szCs w:val="20"/>
          <w:color w:val="auto"/>
        </w:rPr>
      </w:pPr>
      <w:r>
        <w:rPr>
          <w:rFonts w:ascii="Times New Roman" w:cs="Times New Roman" w:eastAsia="Times New Roman" w:hAnsi="Times New Roman"/>
          <w:sz w:val="20"/>
          <w:szCs w:val="20"/>
          <w:color w:val="252525"/>
        </w:rPr>
        <w:t>As noted above, we have the ability to self-perform virtually all aspects of the critical infrastructure projects we build. However, at times, we may enter into joint venture arrangements on certain projects where it is necessary or desirable to share expertise, risk and resources. The services we self-perform versus those we rely upon subcontractors and joint venture partners to perform vary from project to project. Our decision regarding whether to self-perform work required depends on multiple factors, including location, availability of subcontractors, availability of craft, size of project, risk management objectives, scope and cost of self-performing versus subcontracting. The work performed through joint venture arrangements is done on an integrated basis, meaning we and our joint venture partners operate as an integrated company with shared cost and risk. As of December 29, 2023, we had a backlog of projects of approximately $1.1 billion, approximately 10% of which are through our joint venture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Water Treatment</w:t>
      </w:r>
    </w:p>
    <w:p>
      <w:pPr>
        <w:spacing w:after="0" w:line="24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color w:val="252525"/>
        </w:rPr>
        <w:t>Our experience in the water treatment space includes a wide range of treatment technologies. For example, for Orange County’s Groundwater Replenishment System Expansion, we delivered a three-step advanced process consisting of microfiltration, reverse osmosis and ultraviolet light with hydrogen peroxide to produce water that meets and exceeds state and federal drinking water standards. The new 30 million gallons daily expansion, completed in 2023, created an additional 31,000 acre-feet per year of new water supply and expanded the facility’s capacity to provide water for one million people.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Water Resources</w:t>
      </w:r>
    </w:p>
    <w:p>
      <w:pPr>
        <w:spacing w:after="0" w:line="24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252525"/>
        </w:rPr>
        <w:t xml:space="preserve">According to </w:t>
      </w:r>
      <w:r>
        <w:rPr>
          <w:rFonts w:ascii="Times New Roman" w:cs="Times New Roman" w:eastAsia="Times New Roman" w:hAnsi="Times New Roman"/>
          <w:sz w:val="20"/>
          <w:szCs w:val="20"/>
          <w:i w:val="1"/>
          <w:iCs w:val="1"/>
          <w:color w:val="252525"/>
        </w:rPr>
        <w:t>Engineering News Record</w:t>
      </w:r>
      <w:r>
        <w:rPr>
          <w:rFonts w:ascii="Times New Roman" w:cs="Times New Roman" w:eastAsia="Times New Roman" w:hAnsi="Times New Roman"/>
          <w:sz w:val="20"/>
          <w:szCs w:val="20"/>
          <w:color w:val="252525"/>
        </w:rPr>
        <w:t>, we were the nation’s sixth largest builder of dams and reservoirs and seventh largest builder of water supply systems in 2023. These critical infrastructure projects control flooding, store and supply water, and improve water quality to meet public demands. We also improve locks along the nation’s inland waterways, enabling the efficient and emissions-reducing transportation of goods, supporting commerce, and connecting regions for economic growth and trade.</w:t>
      </w:r>
    </w:p>
    <w:p>
      <w:pPr>
        <w:spacing w:after="0" w:line="1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52525"/>
        </w:rPr>
        <w:t>At the LaGrange Lock and Dam in Illinois, USACE chose us to perform a major rehabilitation of the more than 80-year-old dam along one of the main inland waterways. According to the most recent ASCE Report Card for inland waterways, barges transport nearly 830 million tons of the nation’s goods every year along these navigable rivers, canals, and channels. Additionally, we recently completed the Rapid Disaster Infrastructure program, building more than five miles of levees in Missouri to protect the area from flooding. A Shimmick-led joint venture also replaced an aging lock and dam and constructed the new Olmsted Dam on the Ohio River. With the Olmsted lock and dam replacement, economic net benefits to the nation are estimated to be more than $640 million annually, according to the same ASCE Report Card.</w:t>
      </w:r>
    </w:p>
    <w:p>
      <w:pPr>
        <w:spacing w:after="0" w:line="20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20"/>
          <w:szCs w:val="20"/>
          <w:color w:val="252525"/>
        </w:rPr>
        <w:t>In California, as part of a joint venture, we recently secured a project for USACE to raise the main dam in Folsom. The project, set for completion in 2027, will enhance flood control by increasing temporary storage capacity of the reservoir by 43,000 acre-feet, reducing flood risk in the greater Sacramento area.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Other Critical Infrastructure</w:t>
      </w:r>
    </w:p>
    <w:p>
      <w:pPr>
        <w:spacing w:after="0" w:line="24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52525"/>
        </w:rPr>
        <w:t>Critical infrastructure refers to the systems, assets, and facilities that are essential for the functioning and well-being of our nation. They are vital for maintaining national security, public health and safety, and economic stability. Disruptions or failures in critical infrastructure can have significant consequences and impact the functioning of society. Our most recent example of critical infrastructure delivered for the military was the Point Loma Navy Fuel Pier Replacement. This project was necessary to ensure the safe and efficient refueling of naval ships and to meet current operational and safety standards. We demolished and removed the existing pier, installed a new fueling pier, and performed other security improvements to enhance the Navy’s ability to maintain its fleet of surface ships, submarines, and other vessels.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Our Industry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20" w:right="1440" w:bottom="175" w:gutter="0" w:footer="0" w:header="0"/>
          <w:type w:val="continuous"/>
        </w:sectPr>
      </w:pPr>
    </w:p>
    <w:bookmarkStart w:id="11" w:name="page12"/>
    <w:bookmarkEnd w:id="11"/>
    <w:p>
      <w:pPr>
        <w:spacing w:after="0" w:line="257" w:lineRule="auto"/>
        <w:rPr>
          <w:sz w:val="20"/>
          <w:szCs w:val="20"/>
          <w:color w:val="auto"/>
        </w:rPr>
      </w:pPr>
      <w:r>
        <w:rPr>
          <w:rFonts w:ascii="Times New Roman" w:cs="Times New Roman" w:eastAsia="Times New Roman" w:hAnsi="Times New Roman"/>
          <w:sz w:val="20"/>
          <w:szCs w:val="20"/>
          <w:color w:val="252525"/>
        </w:rPr>
        <w:t>Several long-term trends, including the impact of climate change, the deterioration of aging infrastructure, and coastal population growth, have resulted in a renewed focus on infrastructure development and funding in the United States. Droughts and flooding in the west, along with extreme weather along coastal states, have demonstrated the need for expanded water and storm water infrastructure, flooding mitigation and disaster recovery efforts. In addition, our nation’s infrastructure, much of it built more than 50 years ago, has deteriorated over the last several decades.</w:t>
      </w:r>
    </w:p>
    <w:p>
      <w:pPr>
        <w:spacing w:after="0" w:line="19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color w:val="252525"/>
        </w:rPr>
        <w:t>The demand for water infrastructure stems from multiple factors driving the need for reliable water management systems. Growing urbanization and industrialization have amplified water consumption, putting pressure on existing water supply networks. Furthermore, aging infrastructure in many regions requires significant upgrades and modernization to ensure clean water delivery, effective flood control, and efficient navigation.</w:t>
      </w:r>
    </w:p>
    <w:p>
      <w:pPr>
        <w:spacing w:after="0" w:line="1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252525"/>
        </w:rPr>
        <w:t>Critical infrastructure ensures the efficient movement of goods and people, supports economic growth, and enhances connectivity between regions. Major economic drivers for these projects include increasing international trade, urbanization, and population growth. As governments and private entities continue to invest in upgrading and expanding infrastructure to meet these demands, opportunities for innovative solutions and technologies are expected to flourish.</w:t>
      </w:r>
    </w:p>
    <w:p>
      <w:pPr>
        <w:spacing w:after="0" w:line="19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color w:val="252525"/>
        </w:rPr>
        <w:t>Based on these and other factors, we believe that demand for construction and ongoing maintenance of water and other critical infrastructure projects will continue to increase.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Water Treatment</w:t>
      </w:r>
    </w:p>
    <w:p>
      <w:pPr>
        <w:spacing w:after="0" w:line="24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252525"/>
        </w:rPr>
        <w:t>In the United States, the delivery of drinking water, wastewater treatment, and stormwater services rely on a comprehensive network of treatment plants, pumps, pipes, storage facilities, and other essential components. According to an ASCE Report, more than 50,000 drinking water systems distribute 39 billion gallons of drinking water to U.S. homes, industries, and other businesses. These systems are regulated by the EPA and state agencies under the Safe Drinking Water Act. The drinking water systems in the United States have been assessed as poor/at-risk, with a grade of C- by the ASCE.</w:t>
      </w:r>
    </w:p>
    <w:p>
      <w:pPr>
        <w:spacing w:after="0" w:line="19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252525"/>
        </w:rPr>
        <w:t>With over 16,000 publicly owned wastewater treatment systems, centralized plants are expected to handle a larger share of wastewater treatment due to urban growth. These systems are currently operating at an average of 81% of their design capacity, with 15% exceeding capacity. Many systems built in the 1970s under the Clean Water Act are reaching the end of their expected 40- to 50-year lifespan. Nationwide, water pipes average 45 years old, and some components are over a century old, despite an expected lifespan of 50 to 100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Water Resources</w:t>
      </w:r>
    </w:p>
    <w:p>
      <w:pPr>
        <w:spacing w:after="0" w:line="2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252525"/>
        </w:rPr>
        <w:t>According to the America’s ASCE Infrastructure Report Card, there are over 91,000 dams with an average age of 57 years across the U.S. Approximately 15,600 dams in the United States are classified as high-hazard structures, with an estimated rehabilitation cost for non-federal dams of nearly $20 billion.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52525"/>
        </w:rPr>
        <w:t>The inland waterway network in the United States is comprised of approximately 12,000 miles of inland navigation channels as well as an additional 11,000 miles of intracoastal waterways owned and operated by the USACE. Most of the locks and dams are well past their 50-year design life. According to the ASCE’s 2021 America’s Infrastructure Report Card, the USACE backlog of authorized projects that are waiting for appropriations funding, which includes the nation’s inland waterway locks and dams, is $6.8 billion. The ASCE reports a navigation backlog of $2.7 billion annually in unmet maintenance work activities. Estimates show the need to rehabilitate federal dams is approximately $27.6 billion.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Industry Drivers and Trends</w:t>
      </w:r>
    </w:p>
    <w:p>
      <w:pPr>
        <w:spacing w:after="0" w:line="24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color w:val="252525"/>
        </w:rPr>
        <w:t>We believe our core markets of water and other critical infrastructure are in the midst of a prolonged expansion, driven by several macro-economic and geopolitical trends, including the following: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20" w:right="1440" w:bottom="175" w:gutter="0" w:footer="0" w:header="0"/>
          <w:type w:val="continuous"/>
        </w:sectPr>
      </w:pPr>
    </w:p>
    <w:bookmarkStart w:id="12" w:name="page13"/>
    <w:bookmarkEnd w:id="12"/>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i w:val="1"/>
          <w:iCs w:val="1"/>
          <w:color w:val="252525"/>
        </w:rPr>
        <w:t xml:space="preserve">Climate change and extreme weather events. </w:t>
      </w:r>
      <w:r>
        <w:rPr>
          <w:rFonts w:ascii="Times New Roman" w:cs="Times New Roman" w:eastAsia="Times New Roman" w:hAnsi="Times New Roman"/>
          <w:sz w:val="20"/>
          <w:szCs w:val="20"/>
          <w:color w:val="252525"/>
        </w:rPr>
        <w:t>The U.N. Intergovernmental Panel on Climate Change 2023 report</w:t>
      </w:r>
      <w:r>
        <w:rPr>
          <w:rFonts w:ascii="Times New Roman" w:cs="Times New Roman" w:eastAsia="Times New Roman" w:hAnsi="Times New Roman"/>
          <w:sz w:val="20"/>
          <w:szCs w:val="20"/>
          <w:b w:val="1"/>
          <w:bCs w:val="1"/>
          <w:i w:val="1"/>
          <w:iCs w:val="1"/>
          <w:color w:val="252525"/>
        </w:rPr>
        <w:t xml:space="preserve"> </w:t>
      </w:r>
      <w:r>
        <w:rPr>
          <w:rFonts w:ascii="Times New Roman" w:cs="Times New Roman" w:eastAsia="Times New Roman" w:hAnsi="Times New Roman"/>
          <w:sz w:val="20"/>
          <w:szCs w:val="20"/>
          <w:color w:val="252525"/>
        </w:rPr>
        <w:t>highlighted that climate change has affected water security due to warming, changing precipitation patterns, and greater frequency and intensity of climatic extremes. Sea-level rise, droughts and flooding continue to affect highly populated areas, including coastal populations. As of October 2023, the U.S. National Oceanic and Atmospheric Administration (“NOAA”) indicated that more than 90 million people are currently being affected by droughts and 40 states are experiencing moderate droughts or worse. At the same time, other parts of the country are seeing extreme flooding. According to NOAA, there were 40 tropical cyclone and flooding events in the United States from 2013 to 2023, with an aggregate cost of approximately $730.0 billion.</w:t>
      </w:r>
    </w:p>
    <w:p>
      <w:pPr>
        <w:spacing w:after="0" w:line="20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color w:val="252525"/>
        </w:rPr>
        <w:t>In coastal regions, rising sea levels and storm surges pose risks to low-lying areas. For example, California has a coastal population of more than 25 million people according to the Office of Coastal Management’s 2023 estimate, which is anticipated to be significantly affected by climate change.</w:t>
      </w:r>
    </w:p>
    <w:p>
      <w:pPr>
        <w:spacing w:after="0" w:line="18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b w:val="1"/>
          <w:bCs w:val="1"/>
          <w:i w:val="1"/>
          <w:iCs w:val="1"/>
          <w:color w:val="252525"/>
        </w:rPr>
        <w:t xml:space="preserve">Aging infrastructure. </w:t>
      </w:r>
      <w:r>
        <w:rPr>
          <w:rFonts w:ascii="Times New Roman" w:cs="Times New Roman" w:eastAsia="Times New Roman" w:hAnsi="Times New Roman"/>
          <w:sz w:val="20"/>
          <w:szCs w:val="20"/>
          <w:color w:val="252525"/>
        </w:rPr>
        <w:t>Our nation’s infrastructure — much of it built more than 50 years ago — has deteriorated</w:t>
      </w:r>
      <w:r>
        <w:rPr>
          <w:rFonts w:ascii="Times New Roman" w:cs="Times New Roman" w:eastAsia="Times New Roman" w:hAnsi="Times New Roman"/>
          <w:sz w:val="20"/>
          <w:szCs w:val="20"/>
          <w:b w:val="1"/>
          <w:bCs w:val="1"/>
          <w:i w:val="1"/>
          <w:iCs w:val="1"/>
          <w:color w:val="252525"/>
        </w:rPr>
        <w:t xml:space="preserve"> </w:t>
      </w:r>
      <w:r>
        <w:rPr>
          <w:rFonts w:ascii="Times New Roman" w:cs="Times New Roman" w:eastAsia="Times New Roman" w:hAnsi="Times New Roman"/>
          <w:sz w:val="20"/>
          <w:szCs w:val="20"/>
          <w:color w:val="252525"/>
        </w:rPr>
        <w:t>over the last several decades and is in need of major upgrades and expansions. In its 2021 America’s Infrastructure Report Card, the ASCE graded America’s overall infrastructure as a C- with many of our target markets graded in the Ds. The report estimated that the cumulative needed investment in infrastructure in the United States for the 10 years from 2020 to 2029 was in excess of $2.6 trillion. The ASCE report estimated that by 2039, failure to improve our infrastructure could cost over $10.0 trillion in lost U.S. GDP.</w:t>
      </w:r>
    </w:p>
    <w:p>
      <w:pPr>
        <w:spacing w:after="0" w:line="1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0"/>
          <w:szCs w:val="20"/>
          <w:color w:val="252525"/>
        </w:rPr>
        <w:t>Additionally, the replacement of old, lead pipes is required to protect public health. The EPA estimates that 9 million lead pipes currently deliver drinking water to homes and businesses across the U.S., putting millions at risk for neurological damage and coronary heart disease. Recognized as a serious public health risk, the IIJA includes $15 billion to replace lead pipes across the United States.</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i w:val="1"/>
          <w:iCs w:val="1"/>
          <w:color w:val="252525"/>
        </w:rPr>
        <w:t xml:space="preserve">Increasing regulations to safeguard public health and address contaminants. </w:t>
      </w:r>
      <w:r>
        <w:rPr>
          <w:rFonts w:ascii="Times New Roman" w:cs="Times New Roman" w:eastAsia="Times New Roman" w:hAnsi="Times New Roman"/>
          <w:sz w:val="20"/>
          <w:szCs w:val="20"/>
          <w:color w:val="252525"/>
        </w:rPr>
        <w:t>Given the widespread exposure to</w:t>
      </w:r>
      <w:r>
        <w:rPr>
          <w:rFonts w:ascii="Times New Roman" w:cs="Times New Roman" w:eastAsia="Times New Roman" w:hAnsi="Times New Roman"/>
          <w:sz w:val="20"/>
          <w:szCs w:val="20"/>
          <w:b w:val="1"/>
          <w:bCs w:val="1"/>
          <w:i w:val="1"/>
          <w:iCs w:val="1"/>
          <w:color w:val="252525"/>
        </w:rPr>
        <w:t xml:space="preserve"> </w:t>
      </w:r>
      <w:r>
        <w:rPr>
          <w:rFonts w:ascii="Times New Roman" w:cs="Times New Roman" w:eastAsia="Times New Roman" w:hAnsi="Times New Roman"/>
          <w:sz w:val="20"/>
          <w:szCs w:val="20"/>
          <w:color w:val="252525"/>
        </w:rPr>
        <w:t>perfluoroalkyl and polyfluoroalkyl substances ("PFAS") — harmful, long-lasting chemicals that have been found in our nation’s water supply — state legislatures and the federal government are acting to mitigate the public health impacts and environmental degradation that these chemicals have caused, according to the National Conference for State Legislatures. The IIJA dedicates $10 billion in funding for communities impacted by emerging contaminants in water, including PFAS. In 2021, the EPA released a PFAS roadmap to prevent unsafe new PFAS chemicals from entering the market and protect public health.</w:t>
      </w:r>
    </w:p>
    <w:p>
      <w:pPr>
        <w:spacing w:after="0" w:line="1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252525"/>
        </w:rPr>
        <w:t>As part of this roadmap, in 2023 the EPA took steps to designate PFAS chemicals as hazardous substances under the Comprehensive Environmental Response, Compensation, and Liability Act (“CERCLA”). CERCLA establishes liability for owners, operators, generators and others, potentially making entities that handle designated PFAS liable for recovery and remediation costs related to PFAS. In December 2023, the EPA released its second annual progress report which highlights the agency’s enhanced use of regulations to improve data on how PFAS are released and used .</w:t>
      </w:r>
    </w:p>
    <w:p>
      <w:pPr>
        <w:spacing w:after="0" w:line="19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b w:val="1"/>
          <w:bCs w:val="1"/>
          <w:i w:val="1"/>
          <w:iCs w:val="1"/>
          <w:color w:val="252525"/>
        </w:rPr>
        <w:t xml:space="preserve">Water conservation and efficiency. </w:t>
      </w:r>
      <w:r>
        <w:rPr>
          <w:rFonts w:ascii="Times New Roman" w:cs="Times New Roman" w:eastAsia="Times New Roman" w:hAnsi="Times New Roman"/>
          <w:sz w:val="20"/>
          <w:szCs w:val="20"/>
          <w:color w:val="252525"/>
        </w:rPr>
        <w:t>According to a 2021 Nasdaq report, contracts for water reuse have surpassed</w:t>
      </w:r>
      <w:r>
        <w:rPr>
          <w:rFonts w:ascii="Times New Roman" w:cs="Times New Roman" w:eastAsia="Times New Roman" w:hAnsi="Times New Roman"/>
          <w:sz w:val="20"/>
          <w:szCs w:val="20"/>
          <w:b w:val="1"/>
          <w:bCs w:val="1"/>
          <w:i w:val="1"/>
          <w:iCs w:val="1"/>
          <w:color w:val="252525"/>
        </w:rPr>
        <w:t xml:space="preserve"> </w:t>
      </w:r>
      <w:r>
        <w:rPr>
          <w:rFonts w:ascii="Times New Roman" w:cs="Times New Roman" w:eastAsia="Times New Roman" w:hAnsi="Times New Roman"/>
          <w:sz w:val="20"/>
          <w:szCs w:val="20"/>
          <w:color w:val="252525"/>
        </w:rPr>
        <w:t>those for desalination. Water recycling offers cost savings, lower energy requirements, and enhanced environmental benefits. In addition to being more economical than desalination, it minimizes the necessity for expanding production capacity and transforms wastewater treatment plants from cost centers into profit centers.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Insurance and Bonding</w:t>
      </w:r>
    </w:p>
    <w:p>
      <w:pPr>
        <w:spacing w:after="0" w:line="25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0"/>
          <w:szCs w:val="20"/>
          <w:color w:val="252525"/>
        </w:rPr>
        <w:t>All of our buildings and equipment are covered by insurance, which our management believes to be adequate. In addition, we maintain general liability, workers’ compensation and excess liability insurance, all in amounts consistent with our risk of loss and industry practice.</w:t>
      </w:r>
    </w:p>
    <w:p>
      <w:pPr>
        <w:spacing w:after="0" w:line="188"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9"/>
          <w:szCs w:val="19"/>
          <w:color w:val="252525"/>
        </w:rPr>
        <w:t>As a normal part of the construction business, we generally are required to provide various types of surety and payment bonds that provide an additional measure of security for our performance on public contracts. Typically, a</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40" w:right="1440" w:bottom="175" w:gutter="0" w:footer="0" w:header="0"/>
          <w:type w:val="continuous"/>
        </w:sectPr>
      </w:pPr>
    </w:p>
    <w:bookmarkStart w:id="13" w:name="page14"/>
    <w:bookmarkEnd w:id="13"/>
    <w:p>
      <w:pPr>
        <w:ind w:right="220"/>
        <w:spacing w:after="0" w:line="257" w:lineRule="auto"/>
        <w:rPr>
          <w:sz w:val="20"/>
          <w:szCs w:val="20"/>
          <w:color w:val="auto"/>
        </w:rPr>
      </w:pPr>
      <w:r>
        <w:rPr>
          <w:rFonts w:ascii="Times New Roman" w:cs="Times New Roman" w:eastAsia="Times New Roman" w:hAnsi="Times New Roman"/>
          <w:sz w:val="20"/>
          <w:szCs w:val="20"/>
          <w:color w:val="252525"/>
        </w:rPr>
        <w:t>bidder for a contract must post a bid bond for 5% to 10% of the amount bid, and on winning the bid, must post a performance and payment bond for 100% of the contract amount.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w:t>
      </w:r>
    </w:p>
    <w:p>
      <w:pPr>
        <w:spacing w:after="0" w:line="19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252525"/>
        </w:rPr>
        <w:t>The capacity of the surety market is subject to market-based fluctuations driven primarily by the level of surety industry losses and the degree of surety market consolidation. Some of our competitors may be limited in the projects they can bid because of bidding and bonding capacity constraints. Our track record of successful project execution and our balance sheet position, provide us with adequate bidding and bonding capacity, which allows us to bid a large number of projects simultaneously. Historically and primarily, Liberty Mutual Group and Berkshire Hathaway have provided us with surety bonding.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Joint Ventures</w:t>
      </w:r>
    </w:p>
    <w:p>
      <w:pPr>
        <w:spacing w:after="0" w:line="25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252525"/>
        </w:rPr>
        <w:t>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Sustainability and Corporate Responsibility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Environmental</w:t>
      </w:r>
    </w:p>
    <w:p>
      <w:pPr>
        <w:spacing w:after="0" w:line="247"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0"/>
          <w:szCs w:val="20"/>
          <w:color w:val="252525"/>
        </w:rPr>
        <w:t>Our work directly addresses the nation’s need for reliable and resilient infrastructure, particularly in water end-markets. Our projects contribute to protecting water sources and enhancing water supply reliability to meet the growing demand for safe and clean water. Our water infrastructure solutions incorporate advanced systems for treating and repurposing wastewater, reducing strain on freshwater resources and alleviating the burden on local ecosystems. By maximizing water efficiency, these projects contribute to conserving water resources for future generations.</w:t>
      </w:r>
    </w:p>
    <w:p>
      <w:pPr>
        <w:spacing w:after="0" w:line="19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252525"/>
        </w:rPr>
        <w:t>We also deliver projects that protect vulnerable regions from flooding. We build state-of-the-art flood control systems to mitigate the impact of natural disasters and sea-level rise to communities. Our goal is to deliver solutions to meet our customers’ needs for resilient infrastructure. Additionally, our work along the nation’s inland waterways enables the efficient and emissions-reducing transportation of goods, supporting commerce, and connecting regions for economic growth and trade.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Social</w:t>
      </w:r>
    </w:p>
    <w:p>
      <w:pPr>
        <w:spacing w:after="0" w:line="24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252525"/>
        </w:rPr>
        <w:t>Our focus on corporate responsibility is not limited to sustainability. We also prioritize social responsibility across our operations and deploy operational best practices across all of our projects. These best practices, tools, and techniques have been developed for key areas of Shimmick’s operations. One of these key areas is Safety, Health, and Environmental (“SH&amp;E”). As our #1 core value, Safety is our foremost concern, and we maintain stringent safety standards to protect our employees and the communities we serve.</w:t>
      </w:r>
    </w:p>
    <w:p>
      <w:pPr>
        <w:spacing w:after="0" w:line="196"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9"/>
          <w:szCs w:val="19"/>
          <w:color w:val="252525"/>
        </w:rPr>
        <w:t>We seek to achieve SH&amp;E success through a comprehensive, internal program that incorporates SH&amp;E standards and innovative techniques, with the ultimate goal of achieving zero work-related injuries or illnesses and preventing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right="80"/>
        <w:spacing w:after="0" w:line="262" w:lineRule="auto"/>
        <w:rPr>
          <w:sz w:val="20"/>
          <w:szCs w:val="20"/>
          <w:color w:val="auto"/>
        </w:rPr>
      </w:pPr>
      <w:r>
        <w:rPr>
          <w:rFonts w:ascii="Times New Roman" w:cs="Times New Roman" w:eastAsia="Times New Roman" w:hAnsi="Times New Roman"/>
          <w:sz w:val="20"/>
          <w:szCs w:val="20"/>
          <w:color w:val="252525"/>
        </w:rPr>
        <w:t>damage to property and the environment. Shimmick’s SH&amp;E program includes specific guidelines to protect people and the environment and includes environmental compliance maps, environmental impact assessments, environmental management plans, environmental compliance checklists, and workflows outlining how to manage environmental compliance.</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52525"/>
        </w:rPr>
        <w:t>We aim to create an inclusive and equitable workplace to harness the power of different perspectives and drive innovation. For example, in 2021, Shimmick established a mission to empower and support women by providing professional and personal development opportunities. We founded Women at Shimmick, an employee resource group charged with improving the experiences of women at Shimmick, providing programs, events, activities, and other opportunities for professional and personal development for women. The group aims to build awareness of women’s experience among the general employee population, recruit and retain more high performing women, and increase the number of women in leadership positions. In the group’s first year, survey results indicated improvement in key areas including welcoming, leadership and development opportunities, building awareness, and recognition.</w:t>
      </w:r>
    </w:p>
    <w:p>
      <w:pPr>
        <w:spacing w:after="0" w:line="20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252525"/>
        </w:rPr>
        <w:t>All employees are responsible for maintaining a respectful workplace free of unlawful discrimination, harassment, and retaliation. We do not tolerate discrimination, and any employee who witnesses or observes discrimination or harassment is encouraged to report it. We maintain an ethics hotline that employees can use to report incidents confidentially and without fear of retaliation. This helps promote a culture of integrity and increase trust in leadership.</w:t>
      </w:r>
    </w:p>
    <w:p>
      <w:pPr>
        <w:spacing w:after="0" w:line="19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252525"/>
        </w:rPr>
        <w:t>Additionally, we have a proven track record of partnering with small and diverse business partners to provide maximum practicable subcontracting opportunities for them. We have a dedicated team of small business and supplier diversity program managers and exceptional year-over-year subcontracting performance. We provide a robust outreach program that includes an evolving Mentor-Protégé Program. We are committed to achieving subcontract objectives that are realistic, challenging, and attainable. Our commitment to small and diverse business participation is demonstrated by the awards and recognition received throughout our history.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Governance</w:t>
      </w:r>
    </w:p>
    <w:p>
      <w:pPr>
        <w:spacing w:after="0" w:line="247"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20"/>
          <w:szCs w:val="20"/>
          <w:color w:val="252525"/>
        </w:rPr>
        <w:t>Finally, our governance framework is intended to maintain a close alignment of our interests with those of our stakeholders and to ensure transparency, ethical conduct, and accountability. Our board of directors comprises experienced professionals who provide strategic guidance and oversight.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Human Capital Management</w:t>
      </w:r>
    </w:p>
    <w:p>
      <w:pPr>
        <w:spacing w:after="0" w:line="25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252525"/>
        </w:rPr>
        <w:t>Shimmick is focused on hiring and retaining highly talented employees with diverse backgrounds and empowering them to both grow their careers and create value for our stockholders. Our success is dependent on employee understanding of and investment in their role in that value creation. Our chief executive officer periodically leads employee meetings intended to reinforce the importance of our core values and regularly meets with small groups of employees to receive their feedback on our business. Our employees are responsible for upholding our mission, values, strategy and talent leadership expectations.</w:t>
      </w:r>
    </w:p>
    <w:p>
      <w:pPr>
        <w:spacing w:after="0" w:line="1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52525"/>
        </w:rPr>
        <w:t>It is important to us that our employees are engaged in our mission to drive our business forward, to recruit from their networks, and to envision a long tenure with us. We provide information to employees no less than quarterly on our core values, strategic plan and financial results. In addition to soliciting feedback through employee surveys, we continuously evaluate our employees’ level of engagement by visiting projects and asking open- ended questions. We also evaluate our employees’ engagement via formal surveys or similar tools on a periodic basis. We care about our employees’ experience and care about them as individuals who are motivated in different ways. Based on the feedback received from employees, we have developed multiple strategic initiatives focused on culture, specifically on promoting a positive employee experience, as well as focusing on career development and engagement to attract and retain the best talent in the industry.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20" w:right="1440" w:bottom="175" w:gutter="0" w:footer="0" w:header="0"/>
          <w:type w:val="continuous"/>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20"/>
          <w:szCs w:val="20"/>
          <w:color w:val="252525"/>
        </w:rPr>
        <w:t>We adhere to a blended learning approach with the understanding that our people learn from experiences (on the job and in life), from other people (mentors or supportive managers), and by participating in formal learning and training programs. We acknowledge that learning is highly individualized and needs to be offered in a way that is most conducive to a specific learner’s needs and learning objectives. We run a periodic education series which includes internal and external speakers presenting topics of interest that are relevant to our employees. We provide multiple learning solutions which cover a wide range of areas such as diversity and inclusion training, leadership skills, safety training, financial knowledge, technology training and presentation skills.</w:t>
      </w:r>
    </w:p>
    <w:p>
      <w:pPr>
        <w:spacing w:after="0" w:line="199"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color w:val="252525"/>
        </w:rPr>
        <w:t>Managers hold performance conversations with their employees on a periodic basis to ensure they receive the performance feedback they deserve, to allow managers to obtain insight into how to support the development of their teams, and to ensure that performance expectations are clear and aligned with the Company’s strategic objectives. We also promote continuous dialogue between managers and employees in addition to these formal touchpoints.</w:t>
      </w:r>
    </w:p>
    <w:p>
      <w:pPr>
        <w:spacing w:after="0" w:line="19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252525"/>
        </w:rPr>
        <w:t>We provide attractive benefits that promote the health of our employees and their families and design compelling job opportunities, aligned with our mission, in an energizing work environment. We also encourage our employees to continue to develop in their careers, including by obtaining advanced degrees or professional certifications. We compensate our employees according to our fair remuneration policies and believe in paying for performance. Accordingly, some employees may receive a portion of their compensation in the form of equity.</w:t>
      </w:r>
    </w:p>
    <w:p>
      <w:pPr>
        <w:spacing w:after="0" w:line="19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252525"/>
        </w:rPr>
        <w:t>We encourage our employees to contribute their time to support various community and charitable activities and sponsor several local community organizations. Recently, Shimmick launched a volunteer time off program that provides eight hours of paid time off to volunteer. In addition to competitive base salaries, cash bonuses, and stock options for the majority of management, we are committed to continuously evaluating and ensuring the competitiveness of our benefits offerings so that we meet the various needs of our employees and their families. Despite a healthcare environment that is facing rising costs, we continue to pay the majority of the cost of our employees’ healthcare insurance.</w:t>
      </w:r>
    </w:p>
    <w:p>
      <w:pPr>
        <w:spacing w:after="0" w:line="19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252525"/>
        </w:rPr>
        <w:t>We take a values-driven, broad view of diversity and inclusion. We believe that fostering an internal climate that is supportive and allows people of all backgrounds to flourish lends itself to the highest levels of company performance and facilitates the attraction and retention of best-in-class talent. We also believe it is inherently the right way to conduct business. We support an innovative, creative culture where people can bring their best and most authentic selves to work. Employees who hold divergent opinions are encouraged to voice their views. We track and report internally on key talent metrics including workforce demographics, critical role pipeline data, diversity data and engagement and inclusion indices.</w:t>
      </w:r>
    </w:p>
    <w:p>
      <w:pPr>
        <w:spacing w:after="0" w:line="19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252525"/>
        </w:rPr>
        <w:t>Decisions regarding staffing, selection, and promotions are made on the basis of individual qualifications related to the requirements of the position. We are committed to identifying and developing the talents of our next generation of leaders. We endeavor to select qualified individuals from a diverse pool of candidates derived from broad outreach efforts when we are recruiting. We are committed to the sourcing and/or promotion of highly- qualified women, people of color and other under-represented groups for management and board positions. We are also challenging ourselves to better support our female and underrepresented employees in their onboarding, training, development and progression within the Company.</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252525"/>
        </w:rPr>
        <w:t>As of December 29, 2023, we had more than 1,300 employees. We are party to collective bargaining agreements covering a majority of our craft workforce. See “</w:t>
      </w:r>
      <w:r>
        <w:rPr>
          <w:rFonts w:ascii="Times New Roman" w:cs="Times New Roman" w:eastAsia="Times New Roman" w:hAnsi="Times New Roman"/>
          <w:sz w:val="20"/>
          <w:szCs w:val="20"/>
          <w:i w:val="1"/>
          <w:iCs w:val="1"/>
          <w:color w:val="252525"/>
        </w:rPr>
        <w:t>Risk Factors – Risks Related to Our Business and Industry – Strikes</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252525"/>
        </w:rPr>
        <w:t>or work stoppages could have a negative impact on our operations and results.</w:t>
      </w:r>
      <w:r>
        <w:rPr>
          <w:rFonts w:ascii="Times New Roman" w:cs="Times New Roman" w:eastAsia="Times New Roman" w:hAnsi="Times New Roman"/>
          <w:sz w:val="20"/>
          <w:szCs w:val="20"/>
          <w:color w:val="252525"/>
        </w:rPr>
        <w:t>”</w:t>
      </w:r>
    </w:p>
    <w:p>
      <w:pPr>
        <w:spacing w:after="0" w:line="18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color w:val="252525"/>
        </w:rPr>
        <w:t>Our business is dependent upon a readily available supply of management, supervisory and field personnel. In the past, we have been able to attract sufficient numbers of personnel to support the growth of our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Training and Safety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0" w:right="1440" w:bottom="175" w:gutter="0" w:footer="0" w:header="0"/>
          <w:type w:val="continuous"/>
        </w:sectPr>
      </w:pPr>
    </w:p>
    <w:bookmarkStart w:id="16" w:name="page17"/>
    <w:bookmarkEnd w:id="16"/>
    <w:p>
      <w:pPr>
        <w:ind w:right="40"/>
        <w:spacing w:after="0" w:line="253" w:lineRule="auto"/>
        <w:rPr>
          <w:sz w:val="20"/>
          <w:szCs w:val="20"/>
          <w:color w:val="auto"/>
        </w:rPr>
      </w:pPr>
      <w:r>
        <w:rPr>
          <w:rFonts w:ascii="Times New Roman" w:cs="Times New Roman" w:eastAsia="Times New Roman" w:hAnsi="Times New Roman"/>
          <w:sz w:val="20"/>
          <w:szCs w:val="20"/>
          <w:color w:val="252525"/>
        </w:rPr>
        <w:t>We place the highest emphasis on the safety of the public, our customers and our employees. Safety is the #1 Shimmick core value. We begin meetings with safety messages and conduct extensive training programs, which have allowed us to maintain a high safety level at our worksites. All new employees undergo an initial safety orientation, and for certain types of projects, we conduct specific hazard training programs. Our project foremen and superintendents conduct weekly on-site safety meetings, and our full-time safety inspectors make random site safety inspections and perform assessments and training if infractions are discovered. In addition, our superintendents and project managers are required to complete an OSHA-approved safety course. Thanks to these efforts, our incident rate is trending well below industry average and represents our continuing effort to improve our culture of safety. For instance, according to the Bureau of Labor Statistics, the average rate of recordable incidents for the construction industry in 2022, the most recent data published, was 2.4 per 100 employees. Shimmick’s most recent average rate of recordable incidents for the most recently completed fiscal year 2023 is notably lower, at 1.5 per 100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Government and Environmental Regulations and Climate Change Matters</w:t>
      </w:r>
    </w:p>
    <w:p>
      <w:pPr>
        <w:spacing w:after="0" w:line="25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52525"/>
        </w:rPr>
        <w:t>We are subject to various federal, state and local laws and regulations relating to the environment, including those relating to discharges to air, water and land, the handling and disposal of solid and hazardous waste, the handling of underground storage tanks and the cleanup of properties affected by hazardous substances. We also are subject to compliance with numerous other laws and regulations of federal, state and local agencies and authorities, including those relating to workplace safety, wage and hour and other labor issues (including the requirements of the OSHA and comparable state laws), immigration controls, vehicle and equipment operations and other aspects of our business. In addition, most of our construction contracts are entered into with public authorities, and these contracts frequently impose additional requirements, including requirements regarding labor relations and subcontracting with designated classes of disadvantaged businesses. We continually monitor our compliance with these laws, regulations and other requirements. While compliance with existing laws, regulations and other requirements has not materially adversely affected our operations in the past, and we are not aware of any proposed requirements that we anticipate will have a material adverse impact on our operations, there can be no assurance that these requirements will not change or that compliance will not otherwise adversely affect our operations in the future. While we typically pass any costs of compliance through to our customers under the applicable project agreement, either directly or as part of our estimate depending on the type of contract, there can be no assurance that we will not incur compliance expenses in the future that materially adversely affect our results of operations. In addition, some operations require operating permits granted by governmental agencies.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52525"/>
        </w:rPr>
        <w:t>The diesel particulate and nitrogen oxide emissions produced by the vehicles and other equipment used in our operations are subject, among other things, to the regulations of the California Air Resources Board (“CARB”). Certain CARB regulations require California equipment owners/operators to meet progressively more restrictive emission targets that require California off-road and on-road diesel equipment owners to retrofit equipment with diesel emission control devices or replace equipment with new engine technology, which will result in higher equipment-related expenses. In general, we have maintained compliance with the regulations by replacing our existing equipment as it reaches the end of its useful life with new equipment that meets or exceeds the requirements of the CARB regulations. Accordingly, we have not incurred material incremental expenses to comply with the regulations.</w:t>
      </w:r>
    </w:p>
    <w:p>
      <w:pPr>
        <w:spacing w:after="0" w:line="20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52525"/>
        </w:rPr>
        <w:t>As is the case with other companies in our industry, some of our aggregate materials products contain varying amounts of crystalline silica, a common mineral. Furthermore, some of our construction and materials processing operations release, as dust, crystalline silica that is in the materials being handled. Excessive, prolonged inhalation of very small-sized particles of crystalline silica has been associated with respiratory disease (including silicosis). OSHA has established occupational thresholds for crystalline silica exposure as respirable dust. We have implemented dust control procedures to measure compliance with requisite thresholds and to verify that respiratory protective equipment is made available as necessary. We also communicate, through safety information sheets and other means, what we believe to be appropriate warnings and cautions to employees and customers about the risks associated with excessive, prolonged inhalation of mineral dust in general and crystalline silica in particular. We have not incurred material expenses in connection with these compliance activities.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20" w:right="1440" w:bottom="175" w:gutter="0" w:footer="0" w:header="0"/>
          <w:type w:val="continuous"/>
        </w:sectPr>
      </w:pPr>
    </w:p>
    <w:bookmarkStart w:id="17" w:name="page18"/>
    <w:bookmarkEnd w:id="17"/>
    <w:p>
      <w:pPr>
        <w:ind w:right="260"/>
        <w:spacing w:after="0" w:line="262" w:lineRule="auto"/>
        <w:rPr>
          <w:sz w:val="20"/>
          <w:szCs w:val="20"/>
          <w:color w:val="auto"/>
        </w:rPr>
      </w:pPr>
      <w:r>
        <w:rPr>
          <w:rFonts w:ascii="Times New Roman" w:cs="Times New Roman" w:eastAsia="Times New Roman" w:hAnsi="Times New Roman"/>
          <w:sz w:val="20"/>
          <w:szCs w:val="20"/>
          <w:color w:val="252525"/>
        </w:rPr>
        <w:t>Although we do not generate large amounts of solid wastes, we occasionally dispose of solid wastes on behalf of customers. Solid wastes, which may include hazardous solid wastes, are subject to the requirements of the federal Solid Waste Disposal Act, the federal Resource Conservation and Recovery Act (the “RCRA”), and comparable state statutes.</w:t>
      </w:r>
    </w:p>
    <w:p>
      <w:pPr>
        <w:spacing w:after="0" w:line="19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252525"/>
        </w:rPr>
        <w:t>From time to time, the EPA considers the adoption of stricter disposal standards for non-hazardous solid wastes. Moreover, it is possible that additional solid wastes will in the future be designated as “hazardous wastes.” Hazardous solid wastes are subject to more rigorous and costly disposal requirements than are non-hazardous solid wastes. Generally, under the applicable project agreement, the customer, as the generator of the waste, is at risk for its proper disposal. We typically pass the cost of disposal through to our customers under such agreement.</w:t>
      </w:r>
    </w:p>
    <w:p>
      <w:pPr>
        <w:spacing w:after="0" w:line="1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52525"/>
        </w:rPr>
        <w:t>Certain environmental laws impose substantial penalties for non-compliance and others, such as CERCLA, and comparable state laws, impose strict, retroactive, joint and several liability upon persons that contributed to the release of a hazardous substance into the environment. These persons include the owner or operator of the site where the release occurred and companies that disposed or arranged for the disposal of the hazardous substances found at the site. Under CERCLA, these persons may be liable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We may be required to remediate contaminated properties currently or formerly owned or operated by us, regardless of whether such contamination resulted from the conduct of others or from the consequences of our own actions that complied with applicable laws at the time those actions were taken. In connection with certain acquisitions, we could assume, or be required to provide indemnification against, environmental liabilities that could expose us to material losses. Furthermore, the existence of contamination at properties we own, lease or operate could result in increased operational costs or restrictions on our ability to use those properties as intended.</w:t>
      </w:r>
    </w:p>
    <w:p>
      <w:pPr>
        <w:spacing w:after="0" w:line="2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52525"/>
        </w:rPr>
        <w:t>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SH&amp;E impacts of our operations. Our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the construction industry could continue, resulting in increased costs of doing business and consequently affecting profitability.</w:t>
      </w:r>
    </w:p>
    <w:p>
      <w:pPr>
        <w:spacing w:after="0" w:line="20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0"/>
          <w:szCs w:val="20"/>
          <w:color w:val="252525"/>
        </w:rPr>
        <w:t>We have incurred, and may in the future incur, significant capital and operating expenditures to comply with such laws and regulations. To the extent that laws are enacted or other governmental action is taken that restricts our operations or imposes more stringent and costly operating, waste handling, disposal and cleanup requirements, our business, financial condition or results of operations could be materially adversely affected.</w:t>
      </w:r>
    </w:p>
    <w:p>
      <w:pPr>
        <w:spacing w:after="0" w:line="19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color w:val="252525"/>
        </w:rPr>
        <w:t>The potential impact of climate change on our operations is highly uncertain. Climate change may result in, among other things, changes in rainfall patterns, storm patterns and intensity and temperature levels. Our results of operations are significantly influenced by weather and major changes in historical weather patterns could significantly impact our future results of operations. For example, if climate change results in significantly more adverse weather conditions in a given period, we could experience reduced productivity and increases in certain other costs, which could negatively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52525"/>
        </w:rPr>
        <w:t>Available Information</w:t>
      </w:r>
    </w:p>
    <w:p>
      <w:pPr>
        <w:spacing w:after="0" w:line="25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9"/>
          <w:szCs w:val="19"/>
          <w:color w:val="252525"/>
        </w:rPr>
        <w:t>Our corporate website address is http://www.shimmick.com. On our investor relations webpage (https://investors.shimmick.com), we make available, free of charge, our SEC reports,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Shimmick</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right="60"/>
        <w:spacing w:after="0" w:line="256" w:lineRule="auto"/>
        <w:rPr>
          <w:sz w:val="20"/>
          <w:szCs w:val="20"/>
          <w:color w:val="auto"/>
        </w:rPr>
      </w:pPr>
      <w:r>
        <w:rPr>
          <w:rFonts w:ascii="Times New Roman" w:cs="Times New Roman" w:eastAsia="Times New Roman" w:hAnsi="Times New Roman"/>
          <w:sz w:val="20"/>
          <w:szCs w:val="20"/>
          <w:color w:val="252525"/>
        </w:rPr>
        <w:t>Code of Business Conduct and Ethics, our corporate governance guidelines, and the charters for the Compensation and Human Capital, Audit, and Nominating and Corporate Governance Committees of the board of directors. The information contained on our website is not included as part of, or incorporated by reference into, this Annual Report on Form 10-K or any other reports we file with or furnish to the SEC. We also use our website as a means of disclosing additional information, including for complying with our disclosure obligations under the SEC’s Regulation FD (Fair Disclosure). The SEC maintains an internet site, www.sec.gov, containing reports, proxy and information statements, and other information regarding issuers, including us, that file electronically with the SEC.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20" w:right="144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Projects</w:t>
      </w:r>
    </w:p>
    <w:p>
      <w:pPr>
        <w:spacing w:after="0" w:line="134" w:lineRule="exact"/>
        <w:rPr>
          <w:sz w:val="20"/>
          <w:szCs w:val="20"/>
          <w:color w:val="auto"/>
        </w:rPr>
      </w:pPr>
    </w:p>
    <w:p>
      <w:pPr>
        <w:ind w:left="980" w:right="34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nature of our contracts, particularly those that are fixed-price, subjects us to risks associated with cost overruns, continuing operating cost inflation and potential claims for liquidated damages,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design-build contracts subject us to the risk of design errors and omissions,</w:t>
      </w:r>
    </w:p>
    <w:p>
      <w:pPr>
        <w:spacing w:after="0" w:line="13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could incur material costs and losses as a result of claims that our materials do not meet regulatory requirements or contractual specifications,</w:t>
      </w:r>
    </w:p>
    <w:p>
      <w:pPr>
        <w:spacing w:after="0" w:line="64" w:lineRule="exact"/>
        <w:rPr>
          <w:rFonts w:ascii="Arial" w:cs="Arial" w:eastAsia="Arial" w:hAnsi="Arial"/>
          <w:sz w:val="20"/>
          <w:szCs w:val="20"/>
          <w:color w:val="auto"/>
        </w:rPr>
      </w:pPr>
    </w:p>
    <w:p>
      <w:pPr>
        <w:ind w:left="980" w:right="200" w:hanging="491"/>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force majeure events, such as natural disasters, epidemics, pandemics and terrorists’ actions, could negatively impact our business, which may affect our financial condition, results of operations or cash flows,</w:t>
      </w:r>
    </w:p>
    <w:p>
      <w:pPr>
        <w:spacing w:after="0" w:line="81" w:lineRule="exact"/>
        <w:rPr>
          <w:rFonts w:ascii="Arial" w:cs="Arial" w:eastAsia="Arial" w:hAnsi="Arial"/>
          <w:sz w:val="20"/>
          <w:szCs w:val="20"/>
          <w:color w:val="auto"/>
        </w:rPr>
      </w:pPr>
    </w:p>
    <w:p>
      <w:pPr>
        <w:ind w:left="980" w:right="380" w:hanging="491"/>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Industry</w:t>
      </w:r>
    </w:p>
    <w:p>
      <w:pPr>
        <w:spacing w:after="0" w:line="134" w:lineRule="exact"/>
        <w:rPr>
          <w:sz w:val="20"/>
          <w:szCs w:val="20"/>
          <w:color w:val="auto"/>
        </w:rPr>
      </w:pPr>
    </w:p>
    <w:p>
      <w:pPr>
        <w:ind w:left="980" w:right="30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obtain bonding could limit the aggregate dollar amount of contracts that we are able to pursue,</w:t>
      </w:r>
    </w:p>
    <w:p>
      <w:pPr>
        <w:spacing w:after="0" w:line="64" w:lineRule="exact"/>
        <w:rPr>
          <w:rFonts w:ascii="Arial" w:cs="Arial" w:eastAsia="Arial" w:hAnsi="Arial"/>
          <w:sz w:val="20"/>
          <w:szCs w:val="20"/>
          <w:color w:val="auto"/>
        </w:rPr>
      </w:pPr>
    </w:p>
    <w:p>
      <w:pPr>
        <w:ind w:left="980" w:right="300" w:hanging="491"/>
        <w:spacing w:after="0" w:line="25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although the water infrastructure market is relatively less susceptible to fluctuations in the market, economic downturns or reductions in government funding of infrastructure projects could reduce our revenue and profits and have a material adverse effect on our results of operations,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limited operating history as an independent company following our separation from AECOM,</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disputes with our prior owner, AECOM, and requirements to make future payments to AECOM,</w:t>
      </w:r>
    </w:p>
    <w:p>
      <w:pPr>
        <w:spacing w:after="0" w:line="133" w:lineRule="exact"/>
        <w:rPr>
          <w:rFonts w:ascii="Arial" w:cs="Arial" w:eastAsia="Arial" w:hAnsi="Arial"/>
          <w:sz w:val="20"/>
          <w:szCs w:val="20"/>
          <w:color w:val="auto"/>
        </w:rPr>
      </w:pPr>
    </w:p>
    <w:p>
      <w:pPr>
        <w:jc w:val="both"/>
        <w:ind w:left="980" w:right="460" w:hanging="491"/>
        <w:spacing w:after="0" w:line="25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violations or alleged violations of government regulations, requirements and statutes, including the False Claims Act, relating to our government contracts could have a material adverse effect on our business,</w:t>
      </w:r>
    </w:p>
    <w:p>
      <w:pPr>
        <w:spacing w:after="0" w:line="81" w:lineRule="exact"/>
        <w:rPr>
          <w:rFonts w:ascii="Arial" w:cs="Arial" w:eastAsia="Arial" w:hAnsi="Arial"/>
          <w:sz w:val="20"/>
          <w:szCs w:val="20"/>
          <w:color w:val="auto"/>
        </w:rPr>
      </w:pPr>
    </w:p>
    <w:p>
      <w:pPr>
        <w:ind w:left="980" w:right="38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dependence on a limited number of customers could adversely affect our business and results of operations,</w:t>
      </w:r>
    </w:p>
    <w:p>
      <w:pPr>
        <w:spacing w:after="0" w:line="64" w:lineRule="exact"/>
        <w:rPr>
          <w:rFonts w:ascii="Arial" w:cs="Arial" w:eastAsia="Arial" w:hAnsi="Arial"/>
          <w:sz w:val="20"/>
          <w:szCs w:val="20"/>
          <w:color w:val="auto"/>
        </w:rPr>
      </w:pPr>
    </w:p>
    <w:p>
      <w:pPr>
        <w:jc w:val="both"/>
        <w:ind w:left="980" w:right="320" w:hanging="491"/>
        <w:spacing w:after="0" w:line="25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dependence on subcontractors and suppliers of materials could increase our costs and impact our ability to complete contracts on a timely basis or at all, which would adversely affect our profits and cash flows,</w:t>
      </w:r>
    </w:p>
    <w:p>
      <w:pPr>
        <w:spacing w:after="0" w:line="81" w:lineRule="exact"/>
        <w:rPr>
          <w:rFonts w:ascii="Arial" w:cs="Arial" w:eastAsia="Arial" w:hAnsi="Arial"/>
          <w:sz w:val="20"/>
          <w:szCs w:val="20"/>
          <w:color w:val="auto"/>
        </w:rPr>
      </w:pPr>
    </w:p>
    <w:p>
      <w:pPr>
        <w:ind w:left="980" w:right="38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 activity presents certain risks to our business, operations and financial condition, and we may not realize the financial and strategic goals contemplated at the time of a transaction,</w:t>
      </w:r>
    </w:p>
    <w:p>
      <w:pPr>
        <w:spacing w:after="0" w:line="64"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amounts included in our backlog may not result in actual revenue or translate into profits, as our backlog is subject to cancellation and unexpected adjustments,</w:t>
      </w:r>
    </w:p>
    <w:p>
      <w:pPr>
        <w:spacing w:after="0" w:line="64"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use of the input method of revenue recognition based on costs incurred relative to total expected costs could result in a reduction or reversal of previously recorded revenue and profits,</w:t>
      </w:r>
    </w:p>
    <w:p>
      <w:pPr>
        <w:spacing w:after="0" w:line="6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pandemics and public health emergencies could materially disrupt our business and negatively impact our results of operations, cash flows and financial condition,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16" w:right="1440" w:bottom="175" w:gutter="0" w:footer="0" w:header="0"/>
          <w:type w:val="continuous"/>
        </w:sectPr>
      </w:pPr>
    </w:p>
    <w:bookmarkStart w:id="20" w:name="page21"/>
    <w:bookmarkEnd w:id="20"/>
    <w:p>
      <w:pPr>
        <w:ind w:left="980" w:right="20" w:hanging="491"/>
        <w:spacing w:after="0" w:line="278" w:lineRule="auto"/>
        <w:tabs>
          <w:tab w:leader="none" w:pos="98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both we and our customers use certain commodity products that are subject to significant price fluctuations, and these fluctuations may have a material adverse effect on both our and our customers’ financial condition, results of operations and cash flows, as well as our customers’ investment decisions,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Legal and Governmental Regulation</w:t>
      </w:r>
    </w:p>
    <w:p>
      <w:pPr>
        <w:spacing w:after="0" w:line="134" w:lineRule="exact"/>
        <w:rPr>
          <w:sz w:val="20"/>
          <w:szCs w:val="20"/>
          <w:color w:val="auto"/>
        </w:rPr>
      </w:pPr>
    </w:p>
    <w:p>
      <w:pPr>
        <w:jc w:val="both"/>
        <w:ind w:left="980" w:right="20" w:hanging="491"/>
        <w:spacing w:after="0" w:line="258"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comply with the regulations of Occupational Safety and Health Administration (“OSHA”) and state and local agencies that oversee transportation and safety compliance could adversely affect our business, financial condition, results of operations, profitability, cash flows and growth prospects,</w:t>
      </w:r>
    </w:p>
    <w:p>
      <w:pPr>
        <w:spacing w:after="0" w:line="81" w:lineRule="exact"/>
        <w:rPr>
          <w:rFonts w:ascii="Arial" w:cs="Arial" w:eastAsia="Arial" w:hAnsi="Arial"/>
          <w:sz w:val="20"/>
          <w:szCs w:val="20"/>
          <w:color w:val="auto"/>
        </w:rPr>
      </w:pPr>
    </w:p>
    <w:p>
      <w:pPr>
        <w:ind w:left="980" w:right="540" w:hanging="491"/>
        <w:spacing w:after="0" w:line="258"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 change in tax laws or regulations of any federal or state jurisdiction in which we operate could increase our tax burden and otherwise adversely affect our business, financial condition, results of operations, and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Risk Factors</w:t>
      </w:r>
    </w:p>
    <w:p>
      <w:pPr>
        <w:spacing w:after="0" w:line="134" w:lineRule="exact"/>
        <w:rPr>
          <w:sz w:val="20"/>
          <w:szCs w:val="20"/>
          <w:color w:val="auto"/>
        </w:rPr>
      </w:pPr>
    </w:p>
    <w:p>
      <w:pPr>
        <w:ind w:left="980" w:right="50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failure to fully or promptly recover customer claims could have a material adverse impact on our liquidity and financial results,</w:t>
      </w:r>
    </w:p>
    <w:p>
      <w:pPr>
        <w:spacing w:after="0" w:line="64" w:lineRule="exact"/>
        <w:rPr>
          <w:rFonts w:ascii="Arial" w:cs="Arial" w:eastAsia="Arial" w:hAnsi="Arial"/>
          <w:sz w:val="20"/>
          <w:szCs w:val="20"/>
          <w:color w:val="auto"/>
        </w:rPr>
      </w:pPr>
    </w:p>
    <w:p>
      <w:pPr>
        <w:ind w:left="980" w:right="80" w:hanging="491"/>
        <w:spacing w:after="0" w:line="25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although climate change and increasing regulations often drive demand for water infrastructure, climate change, and related legislative and regulatory responses to climate change, may have a long- term impact on our business,</w:t>
      </w:r>
    </w:p>
    <w:p>
      <w:pPr>
        <w:spacing w:after="0" w:line="81" w:lineRule="exact"/>
        <w:rPr>
          <w:rFonts w:ascii="Arial" w:cs="Arial" w:eastAsia="Arial" w:hAnsi="Arial"/>
          <w:sz w:val="20"/>
          <w:szCs w:val="20"/>
          <w:color w:val="auto"/>
        </w:rPr>
      </w:pPr>
    </w:p>
    <w:p>
      <w:pPr>
        <w:ind w:left="980" w:right="66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deterioration of the United States economy could have a material adverse effect on our business, financial condition and results of operations,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Securities Markets and Ownership of Our Common Stock</w:t>
      </w:r>
    </w:p>
    <w:p>
      <w:pPr>
        <w:spacing w:after="0" w:line="134" w:lineRule="exact"/>
        <w:rPr>
          <w:sz w:val="20"/>
          <w:szCs w:val="20"/>
          <w:color w:val="auto"/>
        </w:rPr>
      </w:pPr>
    </w:p>
    <w:p>
      <w:pPr>
        <w:jc w:val="both"/>
        <w:ind w:left="980" w:right="80" w:hanging="491"/>
        <w:spacing w:after="0" w:line="258"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because we are a “controlled company” under the listing standards of Nasdaq and the rules of the SEC, our stockholders do not have certain corporate governance protections that are available to stockholders of companies that are not controlled companies,</w:t>
      </w:r>
    </w:p>
    <w:p>
      <w:pPr>
        <w:spacing w:after="0" w:line="81" w:lineRule="exact"/>
        <w:rPr>
          <w:rFonts w:ascii="Arial" w:cs="Arial" w:eastAsia="Arial" w:hAnsi="Arial"/>
          <w:sz w:val="20"/>
          <w:szCs w:val="20"/>
          <w:color w:val="auto"/>
        </w:rPr>
      </w:pPr>
    </w:p>
    <w:p>
      <w:pPr>
        <w:ind w:left="980" w:right="100" w:hanging="491"/>
        <w:spacing w:after="0" w:line="258"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do not anticipate paying any cash dividends in the foreseeable future, so if our share price does not appreciate, our investors may not experience gains and could potentially lose on their investment in our shares</w:t>
      </w:r>
    </w:p>
    <w:p>
      <w:pPr>
        <w:spacing w:after="0" w:line="81" w:lineRule="exact"/>
        <w:rPr>
          <w:rFonts w:ascii="Arial" w:cs="Arial" w:eastAsia="Arial" w:hAnsi="Arial"/>
          <w:sz w:val="20"/>
          <w:szCs w:val="20"/>
          <w:color w:val="auto"/>
        </w:rPr>
      </w:pPr>
    </w:p>
    <w:p>
      <w:pPr>
        <w:ind w:left="980" w:right="860" w:hanging="491"/>
        <w:spacing w:after="0" w:line="27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in our charter documents and under Delaware law could discourage a takeover that stockholders may consider favorable and may lead to entrenchment of management,</w:t>
      </w:r>
    </w:p>
    <w:p>
      <w:pPr>
        <w:spacing w:after="0" w:line="64" w:lineRule="exact"/>
        <w:rPr>
          <w:rFonts w:ascii="Arial" w:cs="Arial" w:eastAsia="Arial" w:hAnsi="Arial"/>
          <w:sz w:val="20"/>
          <w:szCs w:val="20"/>
          <w:color w:val="auto"/>
        </w:rPr>
      </w:pPr>
    </w:p>
    <w:p>
      <w:pPr>
        <w:ind w:left="980" w:right="300" w:hanging="491"/>
        <w:spacing w:after="0" w:line="258"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amended and restated charter documents provide that the Court of Chancery of the State of Delaware will be the sole and exclusive forum for certain stockholder litigation matters, which could limit our stockholders’ ability to obtain a favorable judicial forum for disputes with us,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disclosure controls and procedures may not prevent or detect all errors or acts of fraud, and</w:t>
      </w:r>
    </w:p>
    <w:p>
      <w:pPr>
        <w:spacing w:after="0" w:line="133" w:lineRule="exact"/>
        <w:rPr>
          <w:rFonts w:ascii="Arial" w:cs="Arial" w:eastAsia="Arial" w:hAnsi="Arial"/>
          <w:sz w:val="20"/>
          <w:szCs w:val="20"/>
          <w:color w:val="auto"/>
        </w:rPr>
      </w:pPr>
    </w:p>
    <w:p>
      <w:pPr>
        <w:ind w:left="980" w:right="120" w:hanging="491"/>
        <w:spacing w:after="0" w:line="252"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Projects</w:t>
      </w:r>
    </w:p>
    <w:p>
      <w:pPr>
        <w:spacing w:after="0" w:line="23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accurately estimate the overall risks, requirements or costs when we bid on or negotiate a contract that is ultimately awarded to us, we may achieve a lower than anticipated profit or incur a loss on the contract.</w:t>
      </w:r>
    </w:p>
    <w:p>
      <w:pPr>
        <w:spacing w:after="0" w:line="17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The majority of our revenue and backlog is derived from fixed unit price contracts and lump sum contracts. The nature of our contracts, particularly those that are fixed-price, subjects us to risks associated with cost overruns, continuing operating cost inflation and potential claims for liquidated damages. Fixed unit price contracts require us to provide materials and services at a fixed unit price based on approved quantities irrespective of our actual per unit</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34" w:right="1440" w:bottom="175" w:gutter="0" w:footer="0" w:header="0"/>
          <w:type w:val="continuous"/>
        </w:sectPr>
      </w:pPr>
    </w:p>
    <w:bookmarkStart w:id="21" w:name="page22"/>
    <w:bookmarkEnd w:id="21"/>
    <w:p>
      <w:pPr>
        <w:ind w:right="140"/>
        <w:spacing w:after="0" w:line="247" w:lineRule="auto"/>
        <w:rPr>
          <w:sz w:val="20"/>
          <w:szCs w:val="20"/>
          <w:color w:val="auto"/>
        </w:rPr>
      </w:pPr>
      <w:r>
        <w:rPr>
          <w:rFonts w:ascii="Times New Roman" w:cs="Times New Roman" w:eastAsia="Times New Roman" w:hAnsi="Times New Roman"/>
          <w:sz w:val="20"/>
          <w:szCs w:val="20"/>
          <w:color w:val="auto"/>
        </w:rPr>
        <w:t>costs. Lump sum contracts require that the total amount of work be performed for a single price irrespective of our actual per unit costs. We realize a profit on our contracts only if we accurately estimate our costs and then successfully control actual costs and avoid cost overruns, and our revenue exceed actual costs. If our cost estimates for a contract are inaccurate, or if we do not execute the contract within our cost estimates, then cost overruns may cause us to incur losses or cause the contract not to be as profitable as we expected. The final results under these types of contracts could negatively affect our business, financial condition, results of operations and cash flows.</w:t>
      </w:r>
    </w:p>
    <w:p>
      <w:pPr>
        <w:spacing w:after="0" w:line="16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The costs incurred and gross margin realized on our contracts can vary, sometimes substantially, from our original projections due to a variety of factors, including, but not limited to:</w:t>
      </w:r>
    </w:p>
    <w:p>
      <w:pPr>
        <w:spacing w:after="0" w:line="81" w:lineRule="exact"/>
        <w:rPr>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on site conditions that differ from those assumed in the original bid or contract,</w:t>
      </w:r>
    </w:p>
    <w:p>
      <w:pPr>
        <w:spacing w:after="0" w:line="133"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include required materials or work in a bid, or the failure to estimate properly the quantities or costs needed to complete a lump sum contract,</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contract or project modifications creating unanticipated costs not covered by change orders,</w:t>
      </w:r>
    </w:p>
    <w:p>
      <w:pPr>
        <w:spacing w:after="0" w:line="133" w:lineRule="exact"/>
        <w:rPr>
          <w:rFonts w:ascii="Arial" w:cs="Arial" w:eastAsia="Arial" w:hAnsi="Arial"/>
          <w:sz w:val="20"/>
          <w:szCs w:val="20"/>
          <w:color w:val="auto"/>
        </w:rPr>
      </w:pPr>
    </w:p>
    <w:p>
      <w:pPr>
        <w:ind w:left="980" w:right="38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our suppliers, subcontractors, designers, engineers, joint venture partners, or customers to perform their obligations,</w:t>
      </w:r>
    </w:p>
    <w:p>
      <w:pPr>
        <w:spacing w:after="0" w:line="64" w:lineRule="exact"/>
        <w:rPr>
          <w:rFonts w:ascii="Arial" w:cs="Arial" w:eastAsia="Arial" w:hAnsi="Arial"/>
          <w:sz w:val="20"/>
          <w:szCs w:val="20"/>
          <w:color w:val="auto"/>
        </w:rPr>
      </w:pPr>
    </w:p>
    <w:p>
      <w:pPr>
        <w:ind w:left="980" w:right="78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quickly identifying and taking measures to address issues which arise during contract execution,</w:t>
      </w:r>
    </w:p>
    <w:p>
      <w:pPr>
        <w:spacing w:after="0" w:line="64" w:lineRule="exact"/>
        <w:rPr>
          <w:rFonts w:ascii="Arial" w:cs="Arial" w:eastAsia="Arial" w:hAnsi="Arial"/>
          <w:sz w:val="20"/>
          <w:szCs w:val="20"/>
          <w:color w:val="auto"/>
        </w:rPr>
      </w:pPr>
    </w:p>
    <w:p>
      <w:pPr>
        <w:ind w:left="980" w:right="10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availability, proximity and costs of materials, including steel, concrete, aggregates and other construction materials, as well as fuel and lubricants for our equipment,</w:t>
      </w:r>
    </w:p>
    <w:p>
      <w:pPr>
        <w:spacing w:after="0" w:line="64" w:lineRule="exact"/>
        <w:rPr>
          <w:rFonts w:ascii="Arial" w:cs="Arial" w:eastAsia="Arial" w:hAnsi="Arial"/>
          <w:sz w:val="20"/>
          <w:szCs w:val="20"/>
          <w:color w:val="auto"/>
        </w:rPr>
      </w:pPr>
    </w:p>
    <w:p>
      <w:pPr>
        <w:ind w:left="980" w:right="24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claims or demands from third parties for alleged damages arising from the design, construction or use and operation of a project of which our work is part,</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obtaining required governmental permits or approvals,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skill level of workers in the geographic location of a project,</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citations issued by any governmental authority, including OSHA,</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labor conditions or work stoppages,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applicable laws and regulations,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delays caused by weather conditions,</w:t>
      </w:r>
    </w:p>
    <w:p>
      <w:pPr>
        <w:spacing w:after="0" w:line="133" w:lineRule="exact"/>
        <w:rPr>
          <w:rFonts w:ascii="Arial" w:cs="Arial" w:eastAsia="Arial" w:hAnsi="Arial"/>
          <w:sz w:val="20"/>
          <w:szCs w:val="20"/>
          <w:color w:val="auto"/>
        </w:rPr>
      </w:pPr>
    </w:p>
    <w:p>
      <w:pPr>
        <w:ind w:left="980" w:right="46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fraud, theft or other improper activities by our suppliers, subcontractors, designers, engineers, joint venture partners or customers or our own personnel,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mechanical problems with our machinery or equipment.</w:t>
      </w:r>
    </w:p>
    <w:p>
      <w:pPr>
        <w:spacing w:after="0" w:line="22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Many of our contracts with public sector customers contain provisions that purport to shift some or all of the above risks from the customer to us, even in cases where the customer is partly at fault. Our experience has often been that public sector customers have been willing to negotiate equitable adjustments in the contract compensation or completion time provisions if unexpected circumstances arise. However, public sector customers may seek to impose contractual risk-shifting provisions more aggressively or there could be statutory and other legal prohibitions that prevent or limit contract changes or equitable adjustments, which could increase risks and adversely affect our business, financial condition, results of operations and cash flows.</w:t>
      </w:r>
    </w:p>
    <w:p>
      <w:pPr>
        <w:spacing w:after="0" w:line="190"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customers may be adversely affected by market conditions and economic downturns, which could impair their ability to pay for our services.</w:t>
      </w:r>
    </w:p>
    <w:p>
      <w:pPr>
        <w:spacing w:after="0" w:line="15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Economic downturns could reduce capital expenditures in the industries we serve, which could result in decreased demand for our services. The demand for our services has been, and will likely continue to be, cyclical in nature and vulnerable to general downturns in the U.S. economy. During economic downturns, our customers may not have the ability to fund capital expenditures for infrastructure, or may have difficulty obtaining financing for planned projects. In addition, uncertain or adverse economic conditions that create volatility in the credit and equity markets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20" w:right="1440" w:bottom="175" w:gutter="0" w:footer="0" w:header="0"/>
          <w:type w:val="continuous"/>
        </w:sectPr>
      </w:pPr>
    </w:p>
    <w:bookmarkStart w:id="22" w:name="page23"/>
    <w:bookmarkEnd w:id="22"/>
    <w:p>
      <w:pPr>
        <w:ind w:right="40"/>
        <w:spacing w:after="0" w:line="244" w:lineRule="auto"/>
        <w:rPr>
          <w:sz w:val="20"/>
          <w:szCs w:val="20"/>
          <w:color w:val="auto"/>
        </w:rPr>
      </w:pPr>
      <w:r>
        <w:rPr>
          <w:rFonts w:ascii="Times New Roman" w:cs="Times New Roman" w:eastAsia="Times New Roman" w:hAnsi="Times New Roman"/>
          <w:sz w:val="20"/>
          <w:szCs w:val="20"/>
          <w:color w:val="auto"/>
        </w:rPr>
        <w:t>may reduce the availability of debt or equity financing for our customers, causing them to reduce capital spending. This has resulted, and in the future could result, in cancellations of projects or deferral of projects to a later date. Such cancellations or deferrals could materially and adversely affect our results of operations, cash flows and liquidity. These conditions could also make it difficult to estimate our customers' demand for our services and add uncertainty to the determination of our backlog. In addition, our customers are negatively affected by economic downturns that decrease the need for their services or the profitability of their services. During an economic downturn, our customers also may not have the ability or desire to continue to fund capital expenditures for infrastructure or may outsource less work. A decrease in related project work could negatively impact demand for the services we provide and could materially adversely affect our business, financial condition, results of operations, profitability, cash flows and growth prospects.</w:t>
      </w:r>
    </w:p>
    <w:p>
      <w:pPr>
        <w:spacing w:after="0" w:line="19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Many of our customers are regulated by federal, state and local government agencies, and the addition of new regulations or changes to existing regulations may adversely impact the demand and profitability of our services.</w:t>
      </w:r>
    </w:p>
    <w:p>
      <w:pPr>
        <w:spacing w:after="0" w:line="15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Many of our customers are regulated by federal, state and local government agencies. These agencies could change the way in which they interpret the application of current regulations and/or may impose additional regulations. Interpretative changes or new regulations having an adverse effect on our customers and the profitability of the services they provide could reduce demand for our services, which could adversely affect our results of operations, cash flows and liquidity. Any future restrictions or regulations that might be adopted could lead to operational delays, increased operating costs for our customers, reduced capital spending and/or delays or cancellations of future infrastructure projects, which could materially and adversely affect our business, financial condition, results of operations, profitability, cash flows and growth prospects.</w:t>
      </w:r>
    </w:p>
    <w:p>
      <w:pPr>
        <w:spacing w:after="0" w:line="19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our ability to qualify as an eligible bidder under federal, state or local government contract criteria and to compete successfully against other qualified bidders in order to obtain federal, state or local government contracts.</w:t>
      </w:r>
    </w:p>
    <w:p>
      <w:pPr>
        <w:spacing w:after="0" w:line="17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Federal, state and local government agencies conduct rigorous competitive processes for awarding many contracts. Some contracts include multiple award task order contracts in which several contractors are selected as eligible bidders for future work. We will potentially face strong competition and pricing pressures for any additional contract awards from other government agencies, and we may be required to qualify or continue to qualify under various multiple award task order contract criteria. Our inability to qualify as an eligible bidder under federal, state or local government contract criteria could preclude us from competing for certain other government contract awards. In addition, our inability to qualify as an eligible bidder, or to compete successfully when bidding for certain federal, state or local government contracts and to win those contracts, could materially adversely affect our business, operations, revenue and profits.</w:t>
      </w:r>
    </w:p>
    <w:p>
      <w:pPr>
        <w:spacing w:after="0" w:line="19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Government contracts generally are subject to a variety of governmental regulations, requirements and statutes, the violation or alleged violation of which could have a material adverse effect on our business.</w:t>
      </w:r>
    </w:p>
    <w:p>
      <w:pPr>
        <w:spacing w:after="0" w:line="15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A majority of our total revenue is derived from contracts funded by federal, state and local government agencies and authorities. Government contracts are subject to specific procurement regulations, contract provisions and a variety of socioeconomic requirements relating to their formation, administration, performance and accounting and often include express or implied certifications of compliance. Further, government contracts include the right to modify, delay, curtail, renegotiate or terminate contracts and subcontracts at the government's convenience any time prior to their completion. Claims for civil or criminal fraud may be brought for violations of regulations, requirements or statutes. We may also be subject to qui tam (whistle blower) litigation brought by private individuals on behalf of the government under the False Claims Act ("FCA"), which could include claims for up to treble damages.</w:t>
      </w:r>
    </w:p>
    <w:p>
      <w:pPr>
        <w:spacing w:after="0" w:line="17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On November 1, 2023, the Company's subsidiary, SCC, was served with a Civil Investigative Demand ("CID") from the Department of Justice ("DOJ") pursuant to the FCA seeking information from SCC. The CID explains that the government is conducting an FCA investigation concerning whether the SCC, submitted, or caused to be submitted, false claims to the U.S. Government for work that was not performed and/or did not meet the requirements of the contract/task order awarded by the U.S. Army Corps of Engineers for the L 536 Levee Restoration Project on which SCC was a subcontractor. No claims have been asserted against SCC or us at this time and we intend to fully cooperate with the DOJ in its investigation.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20" w:right="1440" w:bottom="175" w:gutter="0" w:footer="0" w:header="0"/>
          <w:type w:val="continuous"/>
        </w:sectPr>
      </w:pPr>
    </w:p>
    <w:bookmarkStart w:id="23" w:name="page24"/>
    <w:bookmarkEnd w:id="23"/>
    <w:p>
      <w:pPr>
        <w:spacing w:after="0" w:line="21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CID seeks information relating to our corporate structure, our relationship with the prime contractor, ATS, and the identity of employees or contractors of SCC and its affiliates involved in the project, among other things. The underlying project was bid on and awarded to ATS prior to the AECOM Sale Transaction when the Company was a wholly owned subsidiary of AECOM.</w:t>
      </w:r>
    </w:p>
    <w:p>
      <w:pPr>
        <w:spacing w:after="0" w:line="1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We believe that all work required to be performed under the contract has been performed, and that the requirements under the contract have been satisfied. Accordingly, we believe that no violations of the False Claims Act relating to this matter have been committed by SCC, and that the CID and related inquiry will not have a material impact on our business, financial condition or results of operations.</w:t>
      </w:r>
    </w:p>
    <w:p>
      <w:pPr>
        <w:spacing w:after="0" w:line="18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Further, if we fail to comply with any of the regulations, requirements or statutes or if we have a substantial number of accumulated OSHA, Mine Safety and Health Administration or other workplace safety violations, our existing government contracts could be terminated and we could be suspended from government contracting or subcontracting, including federally funded projects at the state level. Should one or more of these events occur, it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contractors are subject to suspension or debarment from government contracting.</w:t>
      </w:r>
    </w:p>
    <w:p>
      <w:pPr>
        <w:spacing w:after="0" w:line="23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Our substantial dependence on government contracts exposes us to a variety of risks that differ from those associated with contracts with private owners. Various statutes to which our operations are subject, including the Davis-Bacon Act (which regulates wages and benefits), the Walsh-Healy Act (which prescribes a minimum wage and regulates overtime and working conditions), Executive Order 11246 (which establishes equal employment opportunity and affirmative action requirements) and the Drug-Free Workplace Act, provide for mandatory suspension and/or debarment of contractors in certain circumstances involving statutory violations. In addition, our federal government and certain state and local agency contracts are subject to, among other regulations, regulations issued under the Federal Acquisition Regulations ("FAR"). These regulations can limit the recovery of certain specified indirect costs on contracts and subject us to ongoing multiple audits by government agencies such as the Defense Contract Audit Agency ("DCAA"). Audits by the DCAA and other agencies consist of reviews of our overhead rates, operating systems and cost proposals to ensure that we have accounted for such costs in accordance with the Cost Accounting Standards of the FAR ("CAS"). If the DCAA determines that we have not accounted for such costs consistent with CAS, the DCAA may disallow these costs. There can be no assurance that audits by the DCAA or other governmental agencies will not result in material cost disallowances in the future, which could adversely impact our business, financial condition, results of operations and cash flows.</w:t>
      </w:r>
    </w:p>
    <w:p>
      <w:pPr>
        <w:spacing w:after="0" w:line="20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Further, FAR and various state statutes provide for discretionary suspension and/or debarment in certain circumstances that might call into question a contractor's willingness or ability to act responsibly, including as a result of being convicted of, or being found civilly liable for, fraud or a criminal offense in connection with obtaining, attempting to obtain or performing a public contract or subcontract. The scope and duration of any suspension or debarment may vary depending upon the facts and the statutory or regulatory grounds for debarment and could have a material adverse effect on our business, financial condition, results of operations and cash flows.</w:t>
      </w:r>
    </w:p>
    <w:p>
      <w:pPr>
        <w:spacing w:after="0" w:line="173"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attracting and retaining qualified personnel, joint venture partners, advisors and subcontractors in a competitive environment.</w:t>
      </w:r>
    </w:p>
    <w:p>
      <w:pPr>
        <w:spacing w:after="0" w:line="159"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20"/>
          <w:szCs w:val="20"/>
          <w:color w:val="auto"/>
        </w:rPr>
        <w:t>The success of our business is dependent on our ability to attract, develop and retain qualified personnel, joint venture partners, advisors and subcontractors. Changes in general or local economic conditions and the resulting impact on the labor market and on our joint venture partners may make it difficult to attract or retain qualified individuals in the geographic areas where we perform our work. If we are unable to provide competitive compensation packages, high-quality training programs and attractive work environments or to establish and maintain successful partnerships, our ability to profitably execute our work could be adversely impacted.</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rely heavily on immigrant labor. We have taken steps that we believe are sufficient and appropriate to ensure compliance with immigration laws. However, we cannot provide assurance that we have identified, or will identify in the future, all illegal immigrants who work for us. Our failure to identify illegal immigrants who work for us may</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40" w:right="1440" w:bottom="175" w:gutter="0" w:footer="0" w:header="0"/>
          <w:type w:val="continuous"/>
        </w:sectPr>
      </w:pPr>
    </w:p>
    <w:bookmarkStart w:id="24" w:name="page25"/>
    <w:bookmarkEnd w:id="24"/>
    <w:p>
      <w:pPr>
        <w:ind w:right="840"/>
        <w:spacing w:after="0" w:line="277" w:lineRule="auto"/>
        <w:rPr>
          <w:sz w:val="20"/>
          <w:szCs w:val="20"/>
          <w:color w:val="auto"/>
        </w:rPr>
      </w:pPr>
      <w:r>
        <w:rPr>
          <w:rFonts w:ascii="Times New Roman" w:cs="Times New Roman" w:eastAsia="Times New Roman" w:hAnsi="Times New Roman"/>
          <w:sz w:val="20"/>
          <w:szCs w:val="20"/>
          <w:color w:val="auto"/>
        </w:rPr>
        <w:t>result in fines or other penalties being imposed upon us, which could have a material adverse effect on our operations,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meet the schedule or performance requirements of our contracts could adversely affect us.</w:t>
      </w:r>
    </w:p>
    <w:p>
      <w:pPr>
        <w:spacing w:after="0" w:line="23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most cases, our contracts require completion by a scheduled acceptance date. Failure to meet any such schedule could result in additional costs, penalties or liquidated damages being assessed against us, and these could exceed projected profit margins on the contract. Performance problems on existing and future contracts could cause actual results of operations to differ materially from those anticipated by us and could cause us to suffer damage to our reputation within the industry and among our customers.</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Adverse weather conditions may cause delays, which could slow completion of our contracts and negatively affect our revenue and cash flows.</w:t>
      </w:r>
    </w:p>
    <w:p>
      <w:pPr>
        <w:spacing w:after="0" w:line="1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Because all of our construction projects are built outdoors, work on our contracts is subject to unpredictable weather conditions. While weather has historically had a minimal impact on our operation due to the concentration of our work in California, where the climate is generally temperate, weather could have an increasingly frequent or severe effect on our operations if general climatic changes occur or if we expand into other geographic regions that tend to experience more extreme weather conditions. Lengthy periods of wet or cold winter weather could interrupt construction, and this could lead to under-utilization of crews and equipment, resulting in less efficient rates of overhead recovery. Extreme heat could prevent us from performing certain types of operations. Changes in weather conditions could cause delays and otherwise significantly affect our project costs. While revenue might be recovered following a period of bad weather, it would generally be impossible to recover the cost of inefficiencies, and significant periods of bad weather typically would reduce profitability of affected contracts both in the current period and during the future life of affected contracts. Such reductions in contract profitability would negatively affect our results of operations.</w:t>
      </w:r>
    </w:p>
    <w:p>
      <w:pPr>
        <w:spacing w:after="0" w:line="196" w:lineRule="exact"/>
        <w:rPr>
          <w:sz w:val="20"/>
          <w:szCs w:val="20"/>
          <w:color w:val="auto"/>
        </w:rPr>
      </w:pPr>
    </w:p>
    <w:p>
      <w:pPr>
        <w:ind w:right="9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identify and contract with qualified Disadvantaged Business Enterprise ("DBE") contractors to perform as subcontractors.</w:t>
      </w:r>
    </w:p>
    <w:p>
      <w:pPr>
        <w:spacing w:after="0" w:line="15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Certain of our government agency projects contain minimum DBE participation clauses. If we subsequently fail to complete these projects with the minimum DBE participation, we may be held responsible for breach of contract, which may include restrictions on our ability to bid on 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business, financial condition, results of operations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Design-build contracts subject us to the risk of design errors and omissions.</w:t>
      </w:r>
    </w:p>
    <w:p>
      <w:pPr>
        <w:spacing w:after="0" w:line="23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Design-build is increasingly being used as a method of project delivery as it provides the customer with a single point of responsibility for both design and construction. We normally subcontract design responsibility to architectural and engineering firms. In the event of a design error or omission by a subcontractor or by us causing damages, there is risk that we, the subcontractor or the respective professional liability insurance or errors and omissions insurance would not be able to absorb the liability. Any liabilities resulting from an asserted design defect with respect to our construction projects may have a material adverse effect on our financial condition, results of operations and cash flows.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and retain qualified managers and skilled employees or if we were to lose the benefit of the experience, efforts and abilities of one or more certain key personnel, we will be unable to operate efficiently, which could reduce our revenue, profitability and liquidity.</w:t>
      </w:r>
    </w:p>
    <w:p>
      <w:pPr>
        <w:spacing w:after="0" w:line="1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operate our business and maintain productivity and profitability. At times of low unemployment rates in the areas we serve, it can be difficult for us to find qualified and affordable personnel. We may be unable to hire and retain a sufficiently skilled labor force necessary to support our operating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0" w:right="1440" w:bottom="175" w:gutter="0" w:footer="0" w:header="0"/>
          <w:type w:val="continuous"/>
        </w:sectPr>
      </w:pPr>
    </w:p>
    <w:bookmarkStart w:id="25" w:name="page26"/>
    <w:bookmarkEnd w:id="25"/>
    <w:p>
      <w:pPr>
        <w:ind w:right="140"/>
        <w:spacing w:after="0" w:line="249" w:lineRule="auto"/>
        <w:rPr>
          <w:sz w:val="20"/>
          <w:szCs w:val="20"/>
          <w:color w:val="auto"/>
        </w:rPr>
      </w:pPr>
      <w:r>
        <w:rPr>
          <w:rFonts w:ascii="Times New Roman" w:cs="Times New Roman" w:eastAsia="Times New Roman" w:hAnsi="Times New Roman"/>
          <w:sz w:val="20"/>
          <w:szCs w:val="20"/>
          <w:color w:val="auto"/>
        </w:rPr>
        <w:t>requirements and growth strategy. Our labor and training expenses may increase as a result of a shortage in the supply of skilled personnel. We may not be able to pass these expenses on to our customers, which could adversely affect our profitability. Labor shortages, increased labor or training costs, or the loss of key personnel could materially adversely affect our business, financial condition, results of operations, profitability, cash flows and growth prospects.</w:t>
      </w:r>
    </w:p>
    <w:p>
      <w:pPr>
        <w:spacing w:after="0" w:line="18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Additionally, our business is managed by a number of key executive and operational officers and is dependent upon retaining and recruiting qualified management. Our continuing success depends on the performance of our management team. We cannot guarantee the continued employment of any of our key executives and operational officers who may choose to leave our company for any number of reasons, such as other business opportunities, differing views on our strategic direction or other reasons. We rely on the experience, efforts and abilities of these individuals, each of whom would be difficult to replace.</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failure to adequately collect for extra or change order work or recover on claims brought by us against customers or other project participants for additional contract costs could have a negative impact on our liquidity and future operations.</w:t>
      </w:r>
    </w:p>
    <w:p>
      <w:pPr>
        <w:spacing w:after="0" w:line="17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certain circumstances, we seek to collect or assert claims against customers, engineers, consultants, subcontractors or others involved in a project for additional costs exceeding the contract price or for amounts not included in the original contract price. These situations may occur due to changes in the initial project scope. Our contracts often require us to perform extra or change order work as directed by the customer even if the customer has not agreed in advance on the scope or price of the extra work to be performed.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These situations also may occur due to other matters, such as delays, which may result in additional costs. Our attempts to collect for additional costs generally are subject to protracted negotiations. Often, these claims can be the subject of lengthy arbitration or litigation proceedings, and it is difficult to accurately predict when and the terms upon which these claims will be fully resolved. These matters ultimately may not be settled to our satisfaction. When these types of events occur, we use working capital in projects to promptly and fully cover cost overruns pending the resolution of the relevant claims. This period of time may be lengthy for project changes, even when the customer agrees to pay for the extra work, as a result of the customer's approval process. A failure to recover in these types of situations promptly and fully could have a negative impact on our liquidity and results of operations. In addition, while customers and subcontractors may be obligated to indemnify us against certain liabilities, such third parties may refuse or be unable to pay us.</w:t>
      </w:r>
    </w:p>
    <w:p>
      <w:pPr>
        <w:spacing w:after="0" w:line="19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To the extent that actual recoveries with respect to change orders or amounts subject to contract disputes or claims are less than the estimates used in our financial statements, the amount of any shortfall will reduce our future revenue and profits, and this could have a material adverse effect on our reported working capital and results of operations. In addition, any delay caused by the extra work may adversely impact the timely scheduling of other project work and our ability to meet specified contract milestone dates.</w:t>
      </w:r>
    </w:p>
    <w:p>
      <w:pPr>
        <w:spacing w:after="0" w:line="187"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hazards that may cause personal injury or property damage. Failure to maintain safe work sites could subject us to liabilities and possible losses, which may not be covered by insurance.</w:t>
      </w:r>
    </w:p>
    <w:p>
      <w:pPr>
        <w:spacing w:after="0" w:line="159"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Construction and maintenance sites, plants and quarries are potentially dangerous workplaces subject to the usual hazards associated with providing construction and related services, and our employees and others are often put in close proximity with mechanized equipment, moving vehicles, chemical and manufacturing processes and highly regulated materials. Operating hazards can cause personal injury and loss of life, damage to or destruction of property, plant and equipment and environmental damage.</w:t>
      </w:r>
    </w:p>
    <w:p>
      <w:pPr>
        <w:spacing w:after="0" w:line="18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On many sites, we are responsible for safety and, accordingly, must implement safety procedures. If we fail to implement these procedures or if the procedures we implement are ineffective, we may suffer the loss of or injury to our employees or others, as well as expose ourselves to possible litigation. Despite having invested significant resources in safety programs and being recognized as an industry leader, a serious accident may nonetheless occur on one of our worksites. As a result, our failure to maintain adequate safety standards could result in reduced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5" w:gutter="0" w:footer="0" w:header="0"/>
          <w:type w:val="continuous"/>
        </w:sectPr>
      </w:pPr>
    </w:p>
    <w:bookmarkStart w:id="26" w:name="page27"/>
    <w:bookmarkEnd w:id="26"/>
    <w:p>
      <w:pPr>
        <w:ind w:right="100"/>
        <w:spacing w:after="0" w:line="277" w:lineRule="auto"/>
        <w:rPr>
          <w:sz w:val="20"/>
          <w:szCs w:val="20"/>
          <w:color w:val="auto"/>
        </w:rPr>
      </w:pPr>
      <w:r>
        <w:rPr>
          <w:rFonts w:ascii="Times New Roman" w:cs="Times New Roman" w:eastAsia="Times New Roman" w:hAnsi="Times New Roman"/>
          <w:sz w:val="20"/>
          <w:szCs w:val="20"/>
          <w:color w:val="auto"/>
        </w:rPr>
        <w:t>profitability or the loss of projects or customers and could have a material adverse impact on our business, financial condition, results of operations, and cash flows.</w:t>
      </w:r>
    </w:p>
    <w:p>
      <w:pPr>
        <w:spacing w:after="0" w:line="1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maintain general liability and excess liability insurance, workers' compensation insurance, auto insurance and other types of insurance all in amounts consistent with our risk of loss and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w:t>
      </w:r>
    </w:p>
    <w:p>
      <w:pPr>
        <w:spacing w:after="0" w:line="192"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could incur material costs and losses as a result of claims that our materials do not meet regulatory requirements or contractual specifications.</w:t>
      </w:r>
    </w:p>
    <w:p>
      <w:pPr>
        <w:spacing w:after="0" w:line="15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provide our customers with materials designed to comply with building codes or other regulatory requirements, as well as any applicable contractual specifications. If our materials do not satisfy these requirements and specifications, material claims may arise against us, our reputation could be damaged and, if any such claims are for an uninsured, non-indemnified or product-related matter, then resolution of such claim against us could have a material adverse effect on our financial condition, results of operations or liquidity.</w:t>
      </w:r>
    </w:p>
    <w:p>
      <w:pPr>
        <w:spacing w:after="0" w:line="187"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incur higher costs to lease, acquire and maintain equipment necessary for our operations, and the market value of our owned equipment may decline.</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A significant portion of our projects are built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w:t>
      </w:r>
    </w:p>
    <w:p>
      <w:pPr>
        <w:spacing w:after="0" w:line="18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equipment that we own or lease requires continuous maintenance, for which we maintain our own repair facilities.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8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Force majeure events, such as natural disasters, epidemics, pandemics and terrorists' actions, could negatively impact our business, which may affect our financial condition, results of operations or cash flows.</w:t>
      </w:r>
    </w:p>
    <w:p>
      <w:pPr>
        <w:spacing w:after="0" w:line="15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Force majeure or extraordinary events beyond the control of the contracting parties, such as natural and man-made disasters, epidemics, pandemics and terrorists' actions, could negatively impact the economies in which we operate. We often negotiate contract language where we are allowed certain relief from force majeure events in private customer contracts and review and attempt to mitigate force majeure events in both public and private customer contracts. We remain obligated to perform our services after most extraordinary events subject to relief that may be available pursuant to a force majeure clause. If we are not able to react quickly to force majeure events, our operations may be affected significantly, which would have a negative impact on our business, financial condition, results of operations and cash flows.</w:t>
      </w:r>
    </w:p>
    <w:p>
      <w:pPr>
        <w:spacing w:after="0" w:line="19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choose, or be required, to pay our subcontractors even if our customers do not pay, or delay paying us for the related services.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use subcontractors to perform portions of our services. In some cases, we pay our subcontractors before our customers pay us for the related services. We could experience a material decrease in profitability and liquidity if we choose, or are required, to pay our subcontractors for work performed for customers that fail to pay, or delay paying us, for the related work.</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20" w:right="1440" w:bottom="175" w:gutter="0" w:footer="0" w:header="0"/>
          <w:type w:val="continuous"/>
        </w:sectPr>
      </w:pPr>
    </w:p>
    <w:bookmarkStart w:id="27" w:name="page28"/>
    <w:bookmarkEnd w:id="27"/>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p>
    <w:p>
      <w:pPr>
        <w:spacing w:after="0" w:line="17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depend on subcontractors to perform work on some of our projects. There is a risk that we may have disputes with subcontractors arising from, among other things, the quality and timeliness of the work they perform, customer concerns about our subcontractors, or our failure to extend existing work orders or issue new work orders under a subcontracting arrangement. If any of our subcontractors fails to deliver the agreed-upon supplies and/or perform the agreed-upon services on a timely basis, then our ability to fulfill our obligations as a prime contractor may be jeopardized. In addition, the absence of qualified subcontractors with whom we have satisfactory relationships could adversely affect our ability to perform under some of our contracts or the quality of the services we provide. Any of these factors could have a material adverse effect on our results of operations, cash flows and liquidity.</w:t>
      </w:r>
    </w:p>
    <w:p>
      <w:pPr>
        <w:spacing w:after="0" w:line="19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also rely on suppliers to obtain the necessary materials for certain projects, and on equipment manufacturers and lessors to provide us with the equipment we require to conduct our operations. Although we are not dependent on any single supplier or equipment manufacturer or lessor, any substantial limitation on the availability of required suppliers or equipment could negatively affect our operations. Market and economic conditions could contribute to a lack of available suppliers or equipment. If we cannot acquire sufficient materials or equipment, it could materially and adversely affect our business, financial condition, results of operations, profitability, cash flows and growth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3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has been affected by numerous economic factors, including inflation, volatile financial markets, supply chain disruptions and shortages of materials and labor.</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Economic conditions, including inflation, supply chain disruptions and labor and materials shortages, have negatively impacted us, and may continue to do so in the future. With the ongoing conflicts in the Gaza Strip, the Red Sea region and in Europe between Ukraine and Russia, there has been a high degree of volatility in commodity and energy markets that affects our customers' businesses. In addition, inflationary factors, such as increases in the labor costs, material costs, and overhead costs, may also adversely affect our financial condition and results of operations. Inflation in the United States has reached multi-decade highs and remained elevated over the past few years. In some cases, we have had to bid more competitively than before to win work, which has compressed margins given the higher inflation. Additionally, in March 2023, the FDIC took control and was appointed receiver of Silicon Valley Bank and New York Signature Bank. While we do not have any direct exposure to these banks, if other banks and financial institutions enter receivership or become insolvent in the future in response to financial conditions affecting the banking system and financial markets, our operations may be negatively impacted, including any inability on our part, or on our customers' parts, to access cash, cash equivalents or investments. Continuing inflation, elevated interest rates for prolonged periods and energy costs, supply chain disruptions, bank failures, and other economic factors may have the effect of further increasing economic uncertainty and heightening the risks caused by volatility in financial markets, which may result in economic downturn or recession.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inability to obtain bonding could limit the aggregate dollar amount of contracts that we are able to pursue.</w:t>
      </w:r>
    </w:p>
    <w:p>
      <w:pPr>
        <w:spacing w:after="0" w:line="23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we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20" w:right="1440" w:bottom="175" w:gutter="0" w:footer="0" w:header="0"/>
          <w:type w:val="continuous"/>
        </w:sectPr>
      </w:pPr>
    </w:p>
    <w:bookmarkStart w:id="28" w:name="page29"/>
    <w:bookmarkEnd w:id="28"/>
    <w:p>
      <w:pPr>
        <w:ind w:right="160"/>
        <w:spacing w:after="0" w:line="252" w:lineRule="auto"/>
        <w:rPr>
          <w:sz w:val="20"/>
          <w:szCs w:val="20"/>
          <w:color w:val="auto"/>
        </w:rPr>
      </w:pPr>
      <w:r>
        <w:rPr>
          <w:rFonts w:ascii="Times New Roman" w:cs="Times New Roman" w:eastAsia="Times New Roman" w:hAnsi="Times New Roman"/>
          <w:sz w:val="20"/>
          <w:szCs w:val="20"/>
          <w:color w:val="auto"/>
        </w:rPr>
        <w:t>For projects that started prior to consummation of the AECOM Sale Transactions (“Legacy Projects") to obtain bonding may also be impacted by AECOM, who is the credit support provider for the surety bonds in place for our Legacy Projects. See “If AECOM defaults on its contractual obligations under agreements in which we are a beneficiary, our business could be materially and adversely impacted” for further discussion.</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Although the water infrastructure market is relatively less susceptible to fluctuations in the market, economic downturns or reductions in government funding of infrastructure projects could reduce our revenue and profits and have a material adverse effect on our results of operations.</w:t>
      </w:r>
    </w:p>
    <w:p>
      <w:pPr>
        <w:spacing w:after="0" w:line="17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business is highly dependent on the amount and timing of infrastructure work funded by various governmental entities, which, in turn, depends on the overall condition of the economy, the need for new or replacement infrastructure, the priorities placed on various projects funded by governmental entities and federal, state or local government spending levels. Spending on infrastructure could decline for numerous reasons, including decreased revenue received by state and local governments for spending on such projects, including federal funding. The most recent recession caused a nationwide decline in home sales and an increase in foreclosures, which correspondingly resulted in decreases in property taxes and some other local taxes, which are among the sources of funding for water and other critical infrastructure construction. State spending on infrastructure can be adversely affected by decreases or delays in, or uncertainties regarding, federal funding, which could adversely affect us.</w:t>
      </w:r>
    </w:p>
    <w:p>
      <w:pPr>
        <w:spacing w:after="0" w:line="1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generate a significant portion of our revenue in California and adverse changes to the economy and business environment in the state has had an adverse effect on, and could continue to adversely affect, our operations, which could lead to lower revenue and reduced profitability.</w:t>
      </w:r>
    </w:p>
    <w:p>
      <w:pPr>
        <w:spacing w:after="0" w:line="17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Because of our geographic concentration in California, we are susceptible to fluctuations in our business caused by adverse economic or other conditions in the state, including natural or other disasters. A stagnant or depressed economy in California has in the past adversely affected, and could continue to adversely affect, our business and results of operations as well as the availability of state and local government funding.</w:t>
      </w:r>
    </w:p>
    <w:p>
      <w:pPr>
        <w:spacing w:after="0" w:line="18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As a result of the current importance of our California operations and anticipated continued growth from these operations, our revenue over the next several years is expected to be largely dependent on economic and regulatory conditions in California. If California experiences an economic downturn, or if the regulatory environment changes in a way that adversely affects our ability to do business or limits our competitive advantages, our profitability and growth prospects may be materially adversely affected. Similarly, due to our geographic concentration in California, a natural disaster or major event that disrupts these markets or the related workforce could have an immediate and material adverse impact on our operations and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work in a highly competitive marketplace.</w:t>
      </w:r>
    </w:p>
    <w:p>
      <w:pPr>
        <w:spacing w:after="0" w:line="23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In the past, a majority of the contracts on which we bid were awarded through a competitive bid process, with awards generally being made to the lowest bidder, but sometimes recognizing other factors, such as shorter contract schedules or prior experience with the customer. For our design-build and other alternative methods of delivering projects, reputation, marketing efforts, quality of design and minimizing public inconvenience are also significant factors considered in awarding contracts, in addition to cost. Within our markets, we compete with many international, national, regional and local construction firms. Some of these competitors have achieved greater market penetration than we have in the markets in which we compete, and some may have greater financial and other resources than we do. In addition, there are a number of international and national companies in our industry that are larger than we are that, if they so desire, could establish a presence in our markets and compete with us for contracts.</w:t>
      </w:r>
    </w:p>
    <w:p>
      <w:pPr>
        <w:spacing w:after="0" w:line="19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cancellation of significant contracts or our disqualification from bidding for new contracts could reduce our revenue and profits and have a material adverse effect on our results of operations.</w:t>
      </w:r>
    </w:p>
    <w:p>
      <w:pPr>
        <w:spacing w:after="0" w:line="159"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Contracts that we enter into with governmental entities can usually be canceled at any time by them with payment only for the work already completed. In addition, we could be prohibited from bidding on certain governmental contracts if we fail to maintain qualifications required by those entities. A cancellation of an unfinished contract or our debarment from the bidding process could cause our equipment and work crews to be idled for a significant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20" w:right="1440" w:bottom="175" w:gutter="0" w:footer="0" w:header="0"/>
          <w:type w:val="continuous"/>
        </w:sectPr>
      </w:pPr>
    </w:p>
    <w:bookmarkStart w:id="29" w:name="page30"/>
    <w:bookmarkEnd w:id="29"/>
    <w:p>
      <w:pPr>
        <w:ind w:right="300"/>
        <w:spacing w:after="0" w:line="277" w:lineRule="auto"/>
        <w:rPr>
          <w:sz w:val="20"/>
          <w:szCs w:val="20"/>
          <w:color w:val="auto"/>
        </w:rPr>
      </w:pPr>
      <w:r>
        <w:rPr>
          <w:rFonts w:ascii="Times New Roman" w:cs="Times New Roman" w:eastAsia="Times New Roman" w:hAnsi="Times New Roman"/>
          <w:sz w:val="20"/>
          <w:szCs w:val="20"/>
          <w:color w:val="auto"/>
        </w:rPr>
        <w:t>period of time until other comparable work becomes available, which could have a material adverse effect on our business and results of operations.</w:t>
      </w:r>
    </w:p>
    <w:p>
      <w:pPr>
        <w:spacing w:after="0" w:line="159"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as an independent company and have been historically dependent on our prior owner, AECOM.</w:t>
      </w:r>
    </w:p>
    <w:p>
      <w:pPr>
        <w:spacing w:after="0" w:line="15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color w:val="auto"/>
        </w:rPr>
        <w:t>We operated as a division of AECOM until our separation in January 2021. Accordingly, our business historically relied upon AECOM's corporate infrastructure for services to support our business functions and relationships with third-party providers. Since separating from AECOM, in addition to working to complete the Legacy Projects (including the Legacy Loss Projects) we have worked to create and/or supplement the corporate infrastructure necessary to operate as an independent company, and have incurred related costs and expenses. That said, we have expended, and expect to continue to expend, significant efforts and costs to (i) replace or otherwise upgrade our systems, including our information technology ("IT") and enterprise resource planning systems, (ii) implement additional financial, IT, and management controls, (iii) implement reporting systems and procedures, (iv) hire additional management, IT, accounting, finance, legal, human resources, and other administrative staff and third-party service providers, (v) establish employee benefit programs, (vi) carry out audit, tax and legal functions, and</w:t>
      </w:r>
    </w:p>
    <w:p>
      <w:pPr>
        <w:spacing w:after="0" w:line="9" w:lineRule="exact"/>
        <w:rPr>
          <w:sz w:val="20"/>
          <w:szCs w:val="20"/>
          <w:color w:val="auto"/>
        </w:rPr>
      </w:pPr>
    </w:p>
    <w:p>
      <w:pPr>
        <w:ind w:right="20"/>
        <w:spacing w:after="0" w:line="242" w:lineRule="auto"/>
        <w:tabs>
          <w:tab w:leader="none" w:pos="39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banking and credit facility arrangements. Any interruption in these services could have a material adverse effect on our business, financial condition, results of operations, profitability, cash flows and growth products. We may also be unable to obtain necessary bonding as we historically were dependent on AECOM to provide the requisite credit support. See "</w:t>
      </w:r>
      <w:r>
        <w:rPr>
          <w:rFonts w:ascii="Times New Roman" w:cs="Times New Roman" w:eastAsia="Times New Roman" w:hAnsi="Times New Roman"/>
          <w:sz w:val="20"/>
          <w:szCs w:val="20"/>
          <w:i w:val="1"/>
          <w:iCs w:val="1"/>
          <w:color w:val="auto"/>
        </w:rPr>
        <w:t>Risks Related to our Business and Industry - An inability to obtain bonding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could limit the aggregate dollar amount of contracts that we are able to pursue."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involved in ongoing disputes with our prior owner, AECOM, which could adversely impact our business.</w:t>
      </w:r>
    </w:p>
    <w:p>
      <w:pPr>
        <w:spacing w:after="0" w:line="23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We are involved in ongoing disputes with our prior owner, AECOM, which could adversely impact our business. On December 9, 2020, AECOM and URS Holdings, Inc., an affiliate of AECOM (the “Seller” and, together with AECOM, the “Seller Entities”), entered into a purchase and sale agreement (the “Purchase Agreement”) with SCC Group, a special purpose entity formed for the purpose of entering into and consummating the AECOM Sale Transactions. The Purchase Agreement provided for, among other things, the sharing with AECOM of a portion of our ultimate recoveries in respect of claims related to our work on certain Legacy Projects. With respect to one of these Legacy Project claims, we have obtained recovery, and AECOM has asserted that it is entitled to 80% of such amounts. The total amount AECOM is seeking to recover (and therefore the maximum amount we believe we could be liable for) is $40 million. We are disputing AECOM's claim to such proceeds on the grounds that it fails to take into account the millions of dollars in losses that we had to fund following the closing of the AECOM Sale Transactions in respect of this project, the absence of which would have impaired our ability to obtain any recovery on such claim. We have also asserted counterclaims on behalf of SCC Group, LLC ("SCC Group") alleging fraud by AECOM due to, among other things, material misrepresentations and omissions to SCC Group regarding the total value of the claim, the status of the project, and the amount of losses that would need to be funded in order to recover on account of such claim. These disputes remain ongoing and, if the parties cannot reach a resolution, it may result in a trial to determine whether and to what extent any portion of our recovery on the subject claim must be remitted to AECOM. Currently, the case is not expected to be adjudicated until 2025. While the ultimate outcomes of these disputes are uncertain, we do not believe that it will result in a material liability owed to AECOM. However, the outcomes of these disputes remain highly uncertain, and there can be no assurance that the court will agree with our position, or that we will not be liable for payment to Seller of the full amount asserted. For additional information regarding the AECOM Sale Transactions, see "</w:t>
      </w:r>
      <w:r>
        <w:rPr>
          <w:rFonts w:ascii="Times New Roman" w:cs="Times New Roman" w:eastAsia="Times New Roman" w:hAnsi="Times New Roman"/>
          <w:sz w:val="20"/>
          <w:szCs w:val="20"/>
          <w:i w:val="1"/>
          <w:iCs w:val="1"/>
          <w:color w:val="auto"/>
        </w:rPr>
        <w:t>Management's Discussion and Analysis of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Condition and Results of Operations – AECOM Sale Transactions."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required to make additional payments to AECOM pursuant to contractual arrangements.</w:t>
      </w:r>
    </w:p>
    <w:p>
      <w:pPr>
        <w:spacing w:after="0" w:line="230"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We may be required to make additional payments to our prior owner, AECOM, which could adversely impact our business. Pursuant to the Purchase Agreement entered into in connection with the AECOM Sale Transactions, we are required to make payments to the Seller Entities under certain circumstances. Potential payments to the Seller Entities set forth in the Purchase Agreement include potential payments for retained claim reimbursements from Legacy Projects, the payment of a portion of actual income tax benefits realized (i.e., in cash or through an actual reduction in liability for tax) as a result of AECOM's election under Treasury Regulations Section 1.1502-36(d)(6) and a one-time additional cash payment if either of the Earnout Thresholds are achieved. See "</w:t>
      </w:r>
      <w:r>
        <w:rPr>
          <w:rFonts w:ascii="Times New Roman" w:cs="Times New Roman" w:eastAsia="Times New Roman" w:hAnsi="Times New Roman"/>
          <w:sz w:val="20"/>
          <w:szCs w:val="20"/>
          <w:i w:val="1"/>
          <w:iCs w:val="1"/>
          <w:color w:val="auto"/>
        </w:rPr>
        <w:t>Management's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20" w:right="1440" w:bottom="175" w:gutter="0" w:footer="0" w:header="0"/>
          <w:type w:val="continuous"/>
        </w:sectPr>
      </w:pPr>
    </w:p>
    <w:bookmarkStart w:id="30" w:name="page31"/>
    <w:bookmarkEnd w:id="30"/>
    <w:p>
      <w:pPr>
        <w:ind w:right="200"/>
        <w:spacing w:after="0" w:line="277" w:lineRule="auto"/>
        <w:rPr>
          <w:sz w:val="20"/>
          <w:szCs w:val="20"/>
          <w:color w:val="auto"/>
        </w:rPr>
      </w:pPr>
      <w:r>
        <w:rPr>
          <w:rFonts w:ascii="Times New Roman" w:cs="Times New Roman" w:eastAsia="Times New Roman" w:hAnsi="Times New Roman"/>
          <w:sz w:val="20"/>
          <w:szCs w:val="20"/>
          <w:i w:val="1"/>
          <w:iCs w:val="1"/>
          <w:color w:val="auto"/>
        </w:rPr>
        <w:t>Discussion and Analysis of Financial Condition and Results of Operations AECOM Sale Transactions</w:t>
      </w:r>
      <w:r>
        <w:rPr>
          <w:rFonts w:ascii="Times New Roman" w:cs="Times New Roman" w:eastAsia="Times New Roman" w:hAnsi="Times New Roman"/>
          <w:sz w:val="20"/>
          <w:szCs w:val="20"/>
          <w:color w:val="auto"/>
        </w:rPr>
        <w:t>" for further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discussion.</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With respect to the aforementioned earnout, no earnout was achieved based on the Company’s calculation of Adjusted EBITDA (as defined in the Purchase Agreement) of the business achieved, and therefore no corresponding additional cash payment has been made, or is expected to be made, to Seller Entities.</w:t>
      </w:r>
    </w:p>
    <w:p>
      <w:pPr>
        <w:spacing w:after="0" w:line="17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In addition to the disputes regarding claim sharing described in "</w:t>
      </w:r>
      <w:r>
        <w:rPr>
          <w:rFonts w:ascii="Times New Roman" w:cs="Times New Roman" w:eastAsia="Times New Roman" w:hAnsi="Times New Roman"/>
          <w:sz w:val="20"/>
          <w:szCs w:val="20"/>
          <w:i w:val="1"/>
          <w:iCs w:val="1"/>
          <w:color w:val="auto"/>
        </w:rPr>
        <w:t>We are involved in ongoing disputes with our prior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owner, AECOM, which could adversely impact our business</w:t>
      </w:r>
      <w:r>
        <w:rPr>
          <w:rFonts w:ascii="Times New Roman" w:cs="Times New Roman" w:eastAsia="Times New Roman" w:hAnsi="Times New Roman"/>
          <w:sz w:val="20"/>
          <w:szCs w:val="20"/>
          <w:color w:val="auto"/>
        </w:rPr>
        <w:t>," for which we could be required to make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payments to AECOM, we are also pursuing claims relating to our work on another Legacy Project that was ongoing at closing of the AECOM Sale Transactions. To the extent we recover any amounts in respect of this claim, AECOM may be entitled to a percentage of the proceeds we receive, subject to a specified cap which takes into account, among other things, the amount of additional losses we are required to fund in order to realize maximum recovery in respect of this claim. As such payments are based on the outcome of future events, the amount of additional payments owed to AECOM (if any) is uncertain. If we are required to make such additional payments to AECOM under the Purchase Agreement, such payments could limit our cash flows or impair our ability to conduct business and pursue business strategies, which could have a material adverse effect on our results of operations, cash flows, or financial condition. Our ability, together with our subsidiaries, to make these additional payments may be affected by events beyond our and their control. Failure to comply with the requirement for additional payments could result in an event of default under the Purchase Agreement, which, if not cured or waived could trigger cross-acceleration or cross-default provisions in other agreements.</w:t>
      </w:r>
    </w:p>
    <w:p>
      <w:pPr>
        <w:spacing w:after="0" w:line="2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With respect to the retained claim reimbursement described in the immediately preceding paragraph, the maximum exposure we could have to AECOM is unknown as it is dependent on a number of factors (including total losses funded and total claim recoveries), which will not be able to be determined until completion of the project which is ongoing. Based on our current loss position on this project, we do not expect to owe any money on this claim. To the extent we do owe money to AECOM on account of this claim, it will be satisfied from our ultimate realized recoveries from this project.</w:t>
      </w:r>
    </w:p>
    <w:p>
      <w:pPr>
        <w:spacing w:after="0" w:line="19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addition to the above, in connection with the settlement of a dispute regarding the amount of the closing net working capital adjustment under the Purchase Agreement, we agreed to pay AECOM up to 10% of the amounts recoverable on account of a claim related a Legacy Project, up to maximum of $9.5 million. Accordingly, we maintain the full remaining amount, or $8.5 million, included in contingent consideration as of December 29, 2023. However, the amount ultimately payable to AECOM will depend on the amount actually recovered by us on account of the claim, which may be less than the amount accrued as of December 29, 2023. There is no guarantee we will be successful in recovering any amounts under the claim, in which case no amounts would be payable to AECOM relating to this matter.</w:t>
      </w:r>
    </w:p>
    <w:p>
      <w:pPr>
        <w:spacing w:after="0" w:line="19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AECOM defaults on its contractual obligations under agreements in which we are a beneficiary, our business could be materially and adversely impacted.</w:t>
      </w:r>
    </w:p>
    <w:p>
      <w:pPr>
        <w:spacing w:after="0" w:line="15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As our prior owner, AECOM is the credit support provider for the surety bonds in place for all our Legacy Projects, which consist of the bonded projects that were ongoing as of the closing of the AECOM Sale Transactions. In the event AECOM were to experience financial distress and/or the bonding companies otherwise determined that the creditworthiness of AECOM was not sufficient, the underlying sureties could require that we provide additional credit support in the form of guarantees, letters of credit, collateral, or otherwise which could materially and adversely impact our business.</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Similarly, if the applicable agreements relating to any of the Legacy Projects require that the amount of the bond with respect to such project be increased, we will need to request that AECOM provide such an increase. In the event AECOM refuses to cooperate, the lack of required bonding could result in a default by us under the underlying project agreement as well as a right of the counterparty to terminate the underlying project agreement, any of which could materially and adversely impact our business.</w:t>
      </w:r>
    </w:p>
    <w:p>
      <w:pPr>
        <w:spacing w:after="0" w:line="18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Timing of the award and performance of new contracts could have an adverse effect on our results of operations and cash flows.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20" w:right="1440" w:bottom="175" w:gutter="0" w:footer="0" w:header="0"/>
          <w:type w:val="continuous"/>
        </w:sectPr>
      </w:pPr>
    </w:p>
    <w:bookmarkStart w:id="31" w:name="page32"/>
    <w:bookmarkEnd w:id="31"/>
    <w:p>
      <w:pPr>
        <w:spacing w:after="0" w:line="21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Historically, a substantial portion of our revenue and earnings is generated from large-scale project awards. The timing of project awards is unpredictable and outside of our control. Awards, including expansions of existing projects, often involve complex and lengthy negotiations and competitive bidding processes. These processes can be impacted by a wide variety of factors including a customer's decision to not proceed with the development of a project, governmental approvals, financing contingencies, commodity prices, environmental conditions and overall market and economic conditions. We may not win contracts that we have bid upon due to price, a customer's perception of our ability to perform and/or perceived technology advantages held by others. Many of our competitors may be more inclined to take greater or unusual risks or terms and conditions in a contract that we might not deem acceptable. Because a significant portion of our revenue is generated from large projects, our results of operations can fluctuate quarterly and annually depending on whether and when large project awards occur and the commencement and progress of work under large contracts already awarded. As a result, we are subject to the risk of losing new awards to competitors or the risk that revenue may not be derived from awarded projects as quickly as anticipated.</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uncertainty of the timing of contract awards may also present difficulties in matching the size of our equipment fleet and work crews with contract needs. In some cases, we may maintain and bear the cost of more equipment and ready work crews than are currently required, in anticipation of future needs for existing contracts or expected future contracts. If a contract is delayed or an expected contract award is not received, we would incur costs that could have a material adverse effect on our anticipated profit.</w:t>
      </w:r>
    </w:p>
    <w:p>
      <w:pPr>
        <w:spacing w:after="0" w:line="18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addition, the timing of the revenue, earnings and cash flows from our contracts can be delayed by a number of factors, including adverse weather conditions, such as prolonged or intense periods of rain, snow, storms or flooding, delays in receiving material and equipment from suppliers and services from subcontractors, labor shortages and changes in the scope of work to be performed. Such delays, if they occur, could have adverse effects on our results of operations for current and future periods until the affected contracts are completed.</w:t>
      </w:r>
    </w:p>
    <w:p>
      <w:pPr>
        <w:spacing w:after="0" w:line="18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participation in construction joint ventures exposes us to liability and/or harm to our reputation for failures of our partners.</w:t>
      </w:r>
    </w:p>
    <w:p>
      <w:pPr>
        <w:spacing w:after="0" w:line="15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As part of our business, we are a party to joint ventures, pursuant to which we typically jointly bid on and execute particular projects with other companies in the construction industry. Success on these joint projects depends upon managing the risks discussed in the various risks described in these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and on whether our joint venture partners satisfy their contractual obligations.</w:t>
      </w:r>
    </w:p>
    <w:p>
      <w:pPr>
        <w:spacing w:after="0" w:line="18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and our joint venture partners are generally jointly and severally liable for all liabilities and obligations of our joint ventures. If a joint venture partner fails to perform or is financially unable to bear its portion of required capital contributions or other obligations, including liabilities stemming from lawsuits, we could be required to make additional investments, provide additional services or pay more than our proportionate share of a liability to make up for our partner's shortfall. Furthermore, if we are unable to adequately address our partner's performance issues, the customer may terminate the project, which could result in legal liability to us, harm to our reputation and reduction to our profit on a project.</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connection with acquisitions, certain counterparties to joint ventures, which may include our historical direct competitors, may not desire to continue such arrangements with us and may terminate the joint ventures or not enter into new arrangements. Any termination of a joint venture could cause us to reduce our backlog and could materially and adversely affect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dependence on a limited number of customers could adversely affect our business and results of operations.</w:t>
      </w:r>
    </w:p>
    <w:p>
      <w:pPr>
        <w:spacing w:after="0" w:line="23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Due to the size and nature of our construction contracts, one or a few customers have in the past and may in the future represent a substantial portion of our consolidated revenue and gross margin in any one year or over a period of several consecutive years. Similarly, our backlog frequently reflects multiple contracts for certain customers, therefore, one customer may comprise a significant percentage of backlog at a certain point in time. The loss of business from any one of such customers could have a material adverse effect on our business or results of</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40" w:right="1440" w:bottom="175" w:gutter="0" w:footer="0" w:header="0"/>
          <w:type w:val="continuous"/>
        </w:sectPr>
      </w:pPr>
    </w:p>
    <w:bookmarkStart w:id="32" w:name="page33"/>
    <w:bookmarkEnd w:id="32"/>
    <w:p>
      <w:pPr>
        <w:ind w:right="20"/>
        <w:spacing w:after="0" w:line="277" w:lineRule="auto"/>
        <w:rPr>
          <w:sz w:val="20"/>
          <w:szCs w:val="20"/>
          <w:color w:val="auto"/>
        </w:rPr>
      </w:pPr>
      <w:r>
        <w:rPr>
          <w:rFonts w:ascii="Times New Roman" w:cs="Times New Roman" w:eastAsia="Times New Roman" w:hAnsi="Times New Roman"/>
          <w:sz w:val="20"/>
          <w:szCs w:val="20"/>
          <w:color w:val="auto"/>
        </w:rPr>
        <w:t>operations. Also, a default or delay in payment on a significant scale by a customer could materially adversely affect our business, results of operations, cash flows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Strikes or work stoppages could have a negative impact on our operations and results.</w:t>
      </w:r>
    </w:p>
    <w:p>
      <w:pPr>
        <w:spacing w:after="0" w:line="23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are party to collective bargaining agreements covering a majority of our craft workforce.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from time to time that may affect their members.</w:t>
      </w:r>
    </w:p>
    <w:p>
      <w:pPr>
        <w:spacing w:after="0" w:line="19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Therefore, it cannot be assured that new agreements will be reached with employee labor unions as existing contracts expire, or on desirable terms. Any action against us relating to the union workforce we employ could have a material adverse effect on our business, financial condition, results of operations, profitability, cash flows and growth prospects. Overall, although strikes, work stoppages and other labor disputes have not had a significant impact on our operations or results in the past, such labor actions, or an inability to renew the collective bargaining agreements, could have a significant impact on our operations and results if they occur in the future.</w:t>
      </w:r>
    </w:p>
    <w:p>
      <w:pPr>
        <w:spacing w:after="0" w:line="19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dependence on subcontractors and suppliers of materials could increase our costs and impair our ability to complete contracts on a timely basis or at all, which would adversely affect our profits and cash flows.</w:t>
      </w:r>
    </w:p>
    <w:p>
      <w:pPr>
        <w:spacing w:after="0" w:line="15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We rely on third-party subcontractors to perform some of the work on many of our contracts. We also rely on third-party suppliers to provide most of the materials (including aggregates, cement, asphalt, concrete, steel, pipe, oil and fuel) for our contracts.</w:t>
      </w:r>
    </w:p>
    <w:p>
      <w:pPr>
        <w:spacing w:after="0" w:line="1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We generally do not bid on contracts unless we have commitments from suppliers for the materials and subcontractors for certain of the services required to complete the contract and at prices that we have included in our bid (except in some instances for trucking arrangements). Thus, to the extent that we cannot obtain commitments from our suppliers for materials and subcontractors for certain of the services, our ability to bid for contracts may be impaired. In addition, if a supplier or subcontractor is unable to deliver materials or services according to the negotiated terms of a supply/services agreement for any reason, including the deterioration of its financial condition, we may suffer delays and be required to purchase the materials or services from another source at a higher price or incur other unanticipated costs. This may reduce the profit to be realized, or result in a loss, on a contract.</w:t>
      </w:r>
    </w:p>
    <w:p>
      <w:pPr>
        <w:spacing w:after="0" w:line="1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Diesel fuel and other petroleum-based products are utilized to operate the plants and equipment on which we rely to perform our construction contracts. Future increases in the costs of fuel and other petroleum-based products used in our business, particularly if a bid has been submitted for a contract and the costs of such products have been estimated at amounts less than the actual costs thereof, could result in a lower profit, or a loss, on a contract.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inability to secure sufficient aggregates could have a negative impact on our future results of operations.</w:t>
      </w:r>
    </w:p>
    <w:p>
      <w:pPr>
        <w:spacing w:after="0" w:line="23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require aggregates (raw materials that are produced from natural sources and extracted from pits and quarries such as gravel, crushed stone and sand) in connection with our business. Strict governmental regulations and the limited number of properties containing useful aggregates have made it increasingly challenging and costly to obtain sufficient aggregates to support our business, both with respect to internal use and third-party sales. If we are unable to obtain aggregates to support our business, then our financial condition, results of operations and cash flows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Unavailability of insurance coverage could have a negative effect on our operations and results.</w:t>
      </w:r>
    </w:p>
    <w:p>
      <w:pPr>
        <w:spacing w:after="0" w:line="23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maintain insurance coverage as part of our overall risk management strategy and pursuant to requirements to maintain specific coverage that are contained in our financing agreements and in most of our construction contracts. Although we have been able to obtain reasonably priced insurance coverage to meet our requirements in the past, there is no assurance that we will be able to do so in the future. For example, catastrophic events can result in decreased coverage limits, more limited coverage and increased premium costs or deductibles. Our inability to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5" w:gutter="0" w:footer="0" w:header="0"/>
          <w:type w:val="continuous"/>
        </w:sectPr>
      </w:pPr>
    </w:p>
    <w:bookmarkStart w:id="33" w:name="page34"/>
    <w:bookmarkEnd w:id="33"/>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obtain adequate insurance coverage could subject us to increased out-of-pocket expenses in the event of a claim and could have an adverse impact on our ability to procure new work, which could have a material adverse effect on our business, financial condition, results of operations and cash flows.</w:t>
      </w:r>
    </w:p>
    <w:p>
      <w:pPr>
        <w:spacing w:after="0" w:line="178"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Acquisition activity presents certain risks to our business, operations and financial condition, and we may not realize the financial and strategic goals contemplated at the time of a transaction.</w:t>
      </w:r>
    </w:p>
    <w:p>
      <w:pPr>
        <w:spacing w:after="0" w:line="15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expect that acquisitions will be an important part of our long-term growth strategy. Successful execution following the closing of an acquisition is essential to achieving the anticipated benefits of the transaction. We expect to make acquisitions to expand into new markets and our acquisition strategy depends on our ability to complete and integrate the acquisitions. Mergers and acquisitions are inherently risky, and any mergers and acquisitions that we complete may not be successful. The process of integrating an acquired company's business into our operations is challenging and may result in expected or unexpected operating or compliance challenges, which may require significant expenditures and a significant amount of our management's attention that would otherwise be focused on the ongoing operation of our business. The potential difficulties or risks of integrating an acquired company's business include, among others:</w:t>
      </w:r>
    </w:p>
    <w:p>
      <w:pPr>
        <w:spacing w:after="0" w:line="100" w:lineRule="exact"/>
        <w:rPr>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the acquisition on our financial and strategic positions and our reputation,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risk that we fail to successfully implement our business plan for the combined business,</w:t>
      </w:r>
    </w:p>
    <w:p>
      <w:pPr>
        <w:spacing w:after="0" w:line="133" w:lineRule="exact"/>
        <w:rPr>
          <w:rFonts w:ascii="Arial" w:cs="Arial" w:eastAsia="Arial" w:hAnsi="Arial"/>
          <w:sz w:val="20"/>
          <w:szCs w:val="20"/>
          <w:color w:val="auto"/>
        </w:rPr>
      </w:pPr>
    </w:p>
    <w:p>
      <w:pPr>
        <w:ind w:left="980" w:right="60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risk that we are unable to obtain the anticipated benefits of the acquisition, including synergies or economies of scale,</w:t>
      </w:r>
    </w:p>
    <w:p>
      <w:pPr>
        <w:spacing w:after="0" w:line="64" w:lineRule="exact"/>
        <w:rPr>
          <w:rFonts w:ascii="Arial" w:cs="Arial" w:eastAsia="Arial" w:hAnsi="Arial"/>
          <w:sz w:val="20"/>
          <w:szCs w:val="20"/>
          <w:color w:val="auto"/>
        </w:rPr>
      </w:pPr>
    </w:p>
    <w:p>
      <w:pPr>
        <w:ind w:left="980" w:right="80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in reconciling business practices or in integrating activities, logistics or information technology and other systems,</w:t>
      </w:r>
    </w:p>
    <w:p>
      <w:pPr>
        <w:spacing w:after="0" w:line="64" w:lineRule="exact"/>
        <w:rPr>
          <w:rFonts w:ascii="Arial" w:cs="Arial" w:eastAsia="Arial" w:hAnsi="Arial"/>
          <w:sz w:val="20"/>
          <w:szCs w:val="20"/>
          <w:color w:val="auto"/>
        </w:rPr>
      </w:pPr>
    </w:p>
    <w:p>
      <w:pPr>
        <w:ind w:left="980" w:right="54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in reconciling accounting issues, especially if an acquired company utilizes accounting principles different from those we use,</w:t>
      </w:r>
    </w:p>
    <w:p>
      <w:pPr>
        <w:spacing w:after="0" w:line="64" w:lineRule="exact"/>
        <w:rPr>
          <w:rFonts w:ascii="Arial" w:cs="Arial" w:eastAsia="Arial" w:hAnsi="Arial"/>
          <w:sz w:val="20"/>
          <w:szCs w:val="20"/>
          <w:color w:val="auto"/>
        </w:rPr>
      </w:pPr>
    </w:p>
    <w:p>
      <w:pPr>
        <w:ind w:left="980" w:right="58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risk with respect to key customers, suppliers and employees and challenges in retaining, assimilating and training new employees,</w:t>
      </w:r>
    </w:p>
    <w:p>
      <w:pPr>
        <w:spacing w:after="0" w:line="64" w:lineRule="exact"/>
        <w:rPr>
          <w:rFonts w:ascii="Arial" w:cs="Arial" w:eastAsia="Arial" w:hAnsi="Arial"/>
          <w:sz w:val="20"/>
          <w:szCs w:val="20"/>
          <w:color w:val="auto"/>
        </w:rPr>
      </w:pPr>
    </w:p>
    <w:p>
      <w:pPr>
        <w:ind w:left="980" w:right="560" w:hanging="491"/>
        <w:spacing w:after="0" w:line="258"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failure of the due diligence processes to identify significant problems, liabilities or other shortcomings or challenges of an acquired company, which could result in unexpected litigation, regulatory exposure, financial contingencies and known and unknown liabilities, and</w:t>
      </w:r>
    </w:p>
    <w:p>
      <w:pPr>
        <w:spacing w:after="0" w:line="81" w:lineRule="exact"/>
        <w:rPr>
          <w:rFonts w:ascii="Arial" w:cs="Arial" w:eastAsia="Arial" w:hAnsi="Arial"/>
          <w:sz w:val="20"/>
          <w:szCs w:val="20"/>
          <w:color w:val="auto"/>
        </w:rPr>
      </w:pPr>
    </w:p>
    <w:p>
      <w:pPr>
        <w:ind w:left="980" w:right="28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in complying with newly applicable laws and regulations, including obtaining or retaining required approvals, licenses and permits.</w:t>
      </w:r>
    </w:p>
    <w:p>
      <w:pPr>
        <w:spacing w:after="0" w:line="16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Our acquisitions may also result in the expenditure of available cash and amortization of expenses any of which could have a material adverse effect on our results of operations or financial condition. Investments in immature businesses with unproven track records have an especially high degree of risk, with the possibility that we may lose the value of our entire investments or incur additional unexpected liabilities. Large or costly acquisitions or investments may also diminish our capital resources and liquidity or limit our ability to engage in additional transactions for a period of time. All of the foregoing risks may be magnified as the cost, size or complexity of an acquisition or acquired company increases, or where the acquired company's market or business are materially different from ours, or where more than one integration is occurring simultaneously or within a concentrated period of time.</w:t>
      </w:r>
    </w:p>
    <w:p>
      <w:pPr>
        <w:spacing w:after="0" w:line="19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addition, in the future we may require significant financing to complete an acquisition or investment, whether through bank loans, raising of debt or otherwise. We cannot assure you that such financing options will be available to us on reasonable terms, or at all. If we are not able to obtain such necessary financing, it could have an impact on our ability to consummate a substantial acquisition or investment and execute our growth strategy. Alternatively, we may issue a significant number of shares as consideration for an acquisition, which would have a dilutive effect on our existing stockholders.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20" w:right="1440" w:bottom="175" w:gutter="0" w:footer="0" w:header="0"/>
          <w:type w:val="continuous"/>
        </w:sectPr>
      </w:pPr>
    </w:p>
    <w:bookmarkStart w:id="34" w:name="page35"/>
    <w:bookmarkEnd w:id="34"/>
    <w:p>
      <w:pPr>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Amounts included in our backlog may not result in actual revenue or translate into profits. Our backlog is subject to cancellation and unexpected adjustments and therefore is an uncertain indicator of future results of operations.</w:t>
      </w:r>
    </w:p>
    <w:p>
      <w:pPr>
        <w:spacing w:after="0" w:line="17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 As of December 29, 2023, our backlog was approximately $1.1 billion.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In the past, we have occasionally experienced postponements, cancellations and reductions in expected future work due to changes in our customers' spending plans, as well as on construction projects, due to market volatility, regulatory and other factors. There can be no assurance as to our customers' requirements or the accuracy of our estimates. As a result, our backlog as of any particular date is an uncertain indicator of future revenue and earnings. In addition, contracts included in our backlog may not be profitable. If our backlog fails to materialize, our business, financial condition, results of operations, profitability, cash flows and growth prospects could be materially and adversely affected.</w:t>
      </w:r>
    </w:p>
    <w:p>
      <w:pPr>
        <w:spacing w:after="0" w:line="20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method of recognizing revenue over time using an input method based on costs incurred relative to total expected costs involves significant estimates which may result in material adjustments, which could result in a charge against our earnings.</w:t>
      </w:r>
    </w:p>
    <w:p>
      <w:pPr>
        <w:spacing w:after="0" w:line="17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recognize contract revenue over time based on costs incurred. Under this method, estimated contract revenue are recognized by applying the percentage of completion of the project for the period based on the ratio of costs incurred to the total estimated costs at completion for the contract. If estimates of costs to complete fixed-price contracts indicate a loss, a provision is made through a contract write-down for the total loss anticipated. Total contract revenue and cost estimates are reviewed and revised at a minimum on a quarterly basis as the work progresses and as change orders are approved. Adjustments based upon the percentage of completion are reflected in contract revenue in the period when these estimates are revised. To the extent that these adjustments result in an increase or a reduction in or an elimination of previously reported contract profit, we recognize a credit or a charge against current earnings, as applicable. Such credits or charges could be material and could cause our results to fluctuate materially from period to period.</w:t>
      </w:r>
    </w:p>
    <w:p>
      <w:pPr>
        <w:spacing w:after="0" w:line="192"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auto"/>
        </w:rPr>
        <w:t>Accounting for our contract related revenue and costs, as well as other expenses, require management to make a variety of significant estimates and assumptions. Although we believe we have the experience and processes to enable us to formulate appropriate assumptions and produce reasonably dependable estimates, these assumptions and estimates are subject to the risks inherent in estimates, including unanticipated delays or technical complications. Variances in actual results from related estimates on a large project, or on several smaller projects, could be material. The full amount of an estimated loss on a contract is recognized in the period that our estimates indicate such a loss. Such adjustments and accrued losses could result in reduced profitability from a reversal of previously recorded revenue and profits, which could have a material adverse effect on our business, financial condition, results of operations and cash flows.</w:t>
      </w:r>
    </w:p>
    <w:p>
      <w:pPr>
        <w:spacing w:after="0" w:line="196"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make significant future contributions to multiemployer pension plans in which we participate.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20" w:right="1440" w:bottom="175" w:gutter="0" w:footer="0" w:header="0"/>
          <w:type w:val="continuous"/>
        </w:sectPr>
      </w:pPr>
    </w:p>
    <w:bookmarkStart w:id="35" w:name="page36"/>
    <w:bookmarkEnd w:id="35"/>
    <w:p>
      <w:pPr>
        <w:spacing w:after="0" w:line="21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We participate in various multiemployer pension plans in the United States under union agreements that generally provide defined benefits to employees covered by collective bargaining agreements. Absent an applicable exemption, a contributor to a U.S. multiemployer plan is liable, upon termination or withdrawal from a plan, for its proportionate share of the plan's underfunded vested liability. Funding requirements for benefit obligations of these multiemployer pension plans are subject to certain regulatory requirements, and we may be required to make cash contributions that may be material to one or more of these plans to satisfy certain underfunded benefit obligations. As of December 29, 2023 and December 30, 2022, we recorded no liability for underfunding of multiemployer pension plans in which we participate, as no events triggering our obligation to make contributions for such underfunding were deemed probable to occur.</w:t>
      </w:r>
    </w:p>
    <w:p>
      <w:pPr>
        <w:spacing w:after="0" w:line="196"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Debt agreements governing our current indebtedness contain, and debt agreements governing our future indebtedness may contain, certain covenants and other restrictions that may limit our ability to operate our business. Failure to comply with such covenants and other restrictions, or our inability to service any current indebtedness or future indebtedness, could adversely impact our business.</w:t>
      </w:r>
    </w:p>
    <w:p>
      <w:pPr>
        <w:spacing w:after="0" w:line="18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In March 2023, we entered into a Revolving Credit Facility (the "Revolving Credit Facility"). The terms of our existing debt agreements (including our Revolving Credit Facility) contain, and any debt agreements governing our future indebtedness may contain, a number of restrictive covenants and other provisions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and agreeing to do any of the foregoing.</w:t>
      </w:r>
    </w:p>
    <w:p>
      <w:pPr>
        <w:spacing w:after="0" w:line="19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Our ability to meet financial covenants can be affected by events beyond our control, and we may not be able to continue to meet such covenants. A breach of any of these covenants or other restrictions or the occurrence of other events (including a material adverse effect or the inability to generate cash to service our obligations under our debt agreements) specified in our debt agreements could result in an event of default. Upon the occurrence of an event of default, our lenders could elect to declare all amounts outstanding, if any, to be immediately due and payable and terminate all commitments to extend further credit under our debt agreements. If we were unable to repay those amounts, we could be forced to curtail our operations, reorganize our capital structure (including through bankruptcy proceedings) or liquidate some or all of our assets in a manner that could adversely impact our business and cause holders of our securities to experience a partial or total loss of their investment in us.</w:t>
      </w:r>
    </w:p>
    <w:p>
      <w:pPr>
        <w:spacing w:after="0" w:line="19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in the future for working capital, capital expenditures and/or acquisitions, and we may not be able to do so on favorable terms or at all, which could impair our ability to operate our business or achieve our growth objectives.</w:t>
      </w:r>
    </w:p>
    <w:p>
      <w:pPr>
        <w:spacing w:after="0" w:line="17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Our ongoing ability to generate cash is important for funding our continuing operations, making acquisitions and servicing our indebtedness. To the extent that existing cash balances and cash flows from operations, together with borrowing capacity under our existing debt agreements, are insufficient to make investments or acquisitions or provide needed working capital, we may require additional financing from other sources. Our ability to obtain such additional financing in the future will depend in part on prevailing market conditions, as well as conditions in our business and our results of operations. In addition, if AECOM defaults on its contractual obligations under agreements in which we are a beneficiary, our ability to obtain financing could be adversely impacted. Furthermore, if global economic, political or other market conditions adversely affect the financial institutions that provide credit to us, it is possible that our ability to draw upon our existing debt and credit facility may be impacted. If adequate funds are not available, or are not available on acceptable terms, we may not be able to make certain investments, take advantage of acquisitions or other opportunities, or respond to competitive challenges, each of which could have a material adverse impact on our business, financial condition, results of operations and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manage our liquidity carefully to fund our working capital.</w:t>
      </w:r>
    </w:p>
    <w:p>
      <w:pPr>
        <w:spacing w:after="0" w:line="23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The need for working capital for our business varies due to fluctuations in the following amounts, among other factors:</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40" w:right="1440" w:bottom="175" w:gutter="0" w:footer="0" w:header="0"/>
          <w:type w:val="continuous"/>
        </w:sectPr>
      </w:pPr>
    </w:p>
    <w:bookmarkStart w:id="36" w:name="page37"/>
    <w:bookmarkEnd w:id="36"/>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receivables;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contract retentions;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contract assets;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contract liabilities;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status of contract mobilization payments and progress billings;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amounts owed to suppliers and subcontractors.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w:t>
      </w:r>
    </w:p>
    <w:p>
      <w:pPr>
        <w:spacing w:after="0" w:line="17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Because our industry is capital-intensive and we have significant fixed and semi-fixed costs, our profitability is sensitive to changes in volume.</w:t>
      </w:r>
    </w:p>
    <w:p>
      <w:pPr>
        <w:spacing w:after="0" w:line="15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The property, plant and equipment needed to produce our products and provide our services can be very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 are unable to generate sufficient cash to purchase and maintain the property, plant and equipment necessary to operate our business, or if the timing of payments on our receivables is delayed, we may be required to reduce or delay planned capital expenditures or to incur additional indebtedness. In addition, due to the level of fixed and semi- fixed costs associated with our business, volume decreases could have a material adverse effect on our financial condition, results of operations or liquidity.</w:t>
      </w:r>
    </w:p>
    <w:p>
      <w:pPr>
        <w:spacing w:after="0" w:line="19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IT systems to conduct our business, and disruption, failure or security breaches of these systems could adversely affect our business and results of operations.</w:t>
      </w:r>
    </w:p>
    <w:p>
      <w:pPr>
        <w:spacing w:after="0" w:line="15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rely on IT systems in order to achieve our business objectives. We also rely upon industry accepted security measures and technology to securely maintain confidential information maintained on our IT systems. However,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have implemented processes for systems under our control intended to mitigate risks, however, we can provide no guarantee that those risk mitigation measures will be effective. While we have historically been successful in defending against cybersecurity attacks and breaches, given the frequency of cybersecurity attacks and resulting breaches reported by other businesses and governments, it is likely we will experience one or more breaches of some extent in the future. In addition, the rapid evolution and increased adoption of artificial intelligence technologies may intensify our cybersecurity risks. We have incurred and may in the future incur significant costs in order to implement, maintain and/or update security systems we feel are necessary to protect our information systems, including due to the rapid evolution and increased adoption of artificial intelligence and machine learning technologies and especially as we continue to operate under a hybrid working model under which employees can work and access our technology infrastructure remotely. We may also miscalculate the level of investment necessary to protect our systems adequately. Since the techniques used to obtain unauthorized access or to sabotage systems change frequently and are often not recognized until launched against a target, we may be unable to anticipate these techniques or to implement adequate preventive measures.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34" w:right="1440" w:bottom="175" w:gutter="0" w:footer="0" w:header="0"/>
          <w:type w:val="continuous"/>
        </w:sectPr>
      </w:pPr>
    </w:p>
    <w:bookmarkStart w:id="37" w:name="page38"/>
    <w:bookmarkEnd w:id="37"/>
    <w:p>
      <w:pPr>
        <w:ind w:right="60"/>
        <w:spacing w:after="0" w:line="249" w:lineRule="auto"/>
        <w:rPr>
          <w:sz w:val="20"/>
          <w:szCs w:val="20"/>
          <w:color w:val="auto"/>
        </w:rPr>
      </w:pPr>
      <w:r>
        <w:rPr>
          <w:rFonts w:ascii="Times New Roman" w:cs="Times New Roman" w:eastAsia="Times New Roman" w:hAnsi="Times New Roman"/>
          <w:sz w:val="20"/>
          <w:szCs w:val="20"/>
          <w:color w:val="auto"/>
        </w:rPr>
        <w:t>Our business also requires us to share confidential information with suppliers and other third parties. Although we take steps to secure confidential information that is provided to third parties, such measures may not always be effective and data breaches, losses or other unauthorized access to or releases of confidential information may occur and could materially adversely affect our reputation, financial condition and results of operations and could result in liability or penalties under data privacy laws.</w:t>
      </w:r>
    </w:p>
    <w:p>
      <w:pPr>
        <w:spacing w:after="0" w:line="187" w:lineRule="exact"/>
        <w:rPr>
          <w:sz w:val="20"/>
          <w:szCs w:val="20"/>
          <w:color w:val="auto"/>
        </w:rPr>
      </w:pPr>
    </w:p>
    <w:p>
      <w:pPr>
        <w:jc w:val="both"/>
        <w:ind w:right="280"/>
        <w:spacing w:after="0" w:line="252" w:lineRule="auto"/>
        <w:rPr>
          <w:sz w:val="20"/>
          <w:szCs w:val="20"/>
          <w:color w:val="auto"/>
        </w:rPr>
      </w:pPr>
      <w:r>
        <w:rPr>
          <w:rFonts w:ascii="Times New Roman" w:cs="Times New Roman" w:eastAsia="Times New Roman" w:hAnsi="Times New Roman"/>
          <w:sz w:val="20"/>
          <w:szCs w:val="20"/>
          <w:color w:val="auto"/>
        </w:rPr>
        <w:t>To the extent that any system failure, accident or security breach results in material disruptions or interruptions to our operations or the theft, loss or disclosure of, or damage to our data or confidential information, including our intellectual property, our reputation, business, results of operations and/or financial condition could be materially adversely affected.</w:t>
      </w:r>
    </w:p>
    <w:p>
      <w:pPr>
        <w:spacing w:after="0" w:line="184"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Cybersecurity attacks on or breaches of our information technology environment could result in business interruptions, remediation costs and/or legal claims.</w:t>
      </w:r>
    </w:p>
    <w:p>
      <w:pPr>
        <w:spacing w:after="0" w:line="15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To protect confidential customer, vendor, financial and employee information, we employ information security measures that secure our information systems from cybersecurity attacks or breaches. Even with these measures, we may be subject to unauthorized access of digital data with the intent to misappropriate information, corrupt data or cause operational disruptions. If a failure of our safeguarding measures were to occur, or if software or third-party vendors that support our information technology environment are compromised, it could have a negative impact to our business and result in business interruptions, remediation costs and/or legal claims, which could have a material adverse effect on our business, financial condition, results of operations and cash flows.</w:t>
      </w:r>
    </w:p>
    <w:p>
      <w:pPr>
        <w:spacing w:after="0" w:line="190"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is seasonal and is affected by adverse weather conditions and the spending patterns of our customers, exposing us to variable quarterly results.</w:t>
      </w:r>
    </w:p>
    <w:p>
      <w:pPr>
        <w:spacing w:after="0" w:line="15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Some of our customers reduce their expenditures and work order requests towards the end of the fiscal year. Adverse weather conditions, particularly during the fall and winter seasons, can also affect our ability to perform outdoor services in certain regions. As a result, we generally experience reduced revenue in the first quarter of each fiscal year. Natural catastrophes and severe weather could also have a negative effect on the economy overall and on our ability to perform outdoor services in affected regions or utilize equipment and crews stationed in those regions, which could negatively affect our results of operations, cash flows and liquidity.</w:t>
      </w:r>
    </w:p>
    <w:p>
      <w:pPr>
        <w:spacing w:after="0" w:line="19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Pandemics and public health emergencies could materially disrupt our business and negatively impact our results of operations, cash flows and financial condition.</w:t>
      </w:r>
    </w:p>
    <w:p>
      <w:pPr>
        <w:spacing w:after="0" w:line="1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Pandemics and public health emergencies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perform our work during such an event may be dependent on the governmental or societal responses to these circumstances in the markets in which we operate. We experienced many of these risks in connection with the COVID-19 pandemic. A pandemic or public health emergency is likely to heighten and exacerbate the risks described herein and could adversely affect our revenue, results of operations, and cash flows.</w:t>
      </w:r>
    </w:p>
    <w:p>
      <w:pPr>
        <w:spacing w:after="0" w:line="19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have recorded intangible assets that could become impaired and adversely affect our results of operations. Assessing whether impairment has occurred requires us to make significant judgments and assumptions about the future, which are inherently subject to risks and uncertainties, and if actual events turn out to be materially less favorable than the judgments we make and the assumptions we use, we may be required to record impairment charges in the future.</w:t>
      </w:r>
    </w:p>
    <w:p>
      <w:pPr>
        <w:spacing w:after="0" w:line="18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Our intangible assets recorded consist of trademarks and customer contracts. We assess these assets for impairment annually, or more often if required. Our assessments involve a number of estimates and assumptions that are inherently subjective, require significant judgment and involve highly uncertain matters that are subject to change. The use of different assumptions or estimates could materially affect the determination as to whether or not an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20" w:right="1440" w:bottom="175" w:gutter="0" w:footer="0" w:header="0"/>
          <w:type w:val="continuous"/>
        </w:sectPr>
      </w:pPr>
    </w:p>
    <w:bookmarkStart w:id="38" w:name="page39"/>
    <w:bookmarkEnd w:id="38"/>
    <w:p>
      <w:pPr>
        <w:ind w:right="220"/>
        <w:spacing w:after="0" w:line="258" w:lineRule="auto"/>
        <w:rPr>
          <w:sz w:val="20"/>
          <w:szCs w:val="20"/>
          <w:color w:val="auto"/>
        </w:rPr>
      </w:pPr>
      <w:r>
        <w:rPr>
          <w:rFonts w:ascii="Times New Roman" w:cs="Times New Roman" w:eastAsia="Times New Roman" w:hAnsi="Times New Roman"/>
          <w:sz w:val="20"/>
          <w:szCs w:val="20"/>
          <w:color w:val="auto"/>
        </w:rPr>
        <w:t>impairment has occurred. In addition, if future events are less favorable than what we assumed or estimated in our impairment analysis, we may be required to record an impairment charge, which could have a material adverse impact on our consolidated financial statements.</w:t>
      </w:r>
    </w:p>
    <w:p>
      <w:pPr>
        <w:spacing w:after="0" w:line="1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Both we and our customers use certain commodity products that are subject to significant price fluctuations. These fluctuations may have a material adverse effect on both our and our customers' financial condition, results of operations and cash flows. Fluctuations in commodity prices may also affect our customers' investment decisions and therefore subject us to risks of cancellation, delays in existing work, or changes in the timing and funding of new awards.</w:t>
      </w:r>
    </w:p>
    <w:p>
      <w:pPr>
        <w:spacing w:after="0" w:line="18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are exposed to various commodity price risks, including, but not limited to, cement, steel, liquid asphalt, lumber, diesel fuel, natural gas and propane arising from transactions that are entered into in the normal course of business. We use petroleum based products, such as fuels, lubricants and liquid asphalt, to power or lubricate our equipment, operate our plants and as a significant ingredient in the asphaltic concrete we manufacture for sale to third parties and use in our asphalt paving construction projects. Although we are partially protected by asphalt or fuel price escalation clauses in some of our contracts, many contracts provide no such protection. We also use steel and other commodities in our construction projects that can be subject to significant price fluctuations. In order to manage or reduce commodity price risk, we monitor the costs of these commodities at the time of bid and price them into our contracts accordingly. Additionally, some of our contracts may include commodity price escalation clauses which partially protect us from increasing prices. Significant price fluctuations could have a material adverse effect on our business, financial condition, results of operations and cash flows.</w:t>
      </w:r>
    </w:p>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Commodity prices can also affect our customers in a number of ways. For example, for those customers that produce commodity products such as concrete, steel products, lumber and oil and gas, fluctuations in price can have a direct effect on their profitability and cash flows and, therefore, their willingness to continue to invest or make new capital investments. To the extent commodity prices decline or fluctuate and our customers defer new investments or cancel or delay existing projects, the demand for our services decreases, which may have a material adverse impact on our business, financial condition, results of operations and cash flows.</w:t>
      </w:r>
    </w:p>
    <w:p>
      <w:pPr>
        <w:spacing w:after="0" w:line="19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Continuing inflation and/or elevated interest rates for prolonged periods could have an adverse effect on our business, financial condition and results of operations.</w:t>
      </w:r>
    </w:p>
    <w:p>
      <w:pPr>
        <w:spacing w:after="0" w:line="159"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auto"/>
        </w:rPr>
        <w:t>Economic factors, including continuing inflation and elevated interest rates for prolonged periods, could have a negative impact on our business. If our costs were to become subject to significant inflationary pressures, we may not be able to fully offset such higher costs through price increases. Our inability or failure to do so could have a material adverse effect on our business, financial condition,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and Governmental Regulation</w:t>
      </w:r>
    </w:p>
    <w:p>
      <w:pPr>
        <w:spacing w:after="0" w:line="23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Environmental laws and regulations and any changes to, or liabilities arising under, such laws and regulations could have a material adverse effect on our financial condition, results of operations and liquidity.</w:t>
      </w:r>
    </w:p>
    <w:p>
      <w:pPr>
        <w:spacing w:after="0" w:line="15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Our operations are subject to stringent and complex federal, state and local laws and regulations governing the discharge of materials into the environment or otherwise relating to environmental protection and public health and safety. These laws and regulations impose numerous obligations applicable to our operations, including requirements to obtain a permit or other approval before conducting regulated activities, restrictions on the types, quantities and concentration of materials that can be released into the environment, limitations on activities on certain lands lying within wilderness, wetlands and other protected areas, and assessments of substantial liabilities for pollution resulting from our operations. For example, a number of governmental bodies have finalized, proposed or are contemplating legislative and regulatory actions to reduce emissions of greenhouse gases, such as monitoring, reporting and emissions control requirements for certain large sources of greenhouse gases and greenhouse gas cap-and-trade programs. Because we emit greenhouse gases through the combustion of fossil fuels as part of our operations, any such laws and regulations applicable to jurisdictions in which we operate could require us to incur costs to reduce greenhouse gas emissions associated with our operations.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20" w:right="1440" w:bottom="175" w:gutter="0" w:footer="0" w:header="0"/>
          <w:type w:val="continuous"/>
        </w:sectPr>
      </w:pPr>
    </w:p>
    <w:bookmarkStart w:id="39" w:name="page40"/>
    <w:bookmarkEnd w:id="39"/>
    <w:p>
      <w:pPr>
        <w:ind w:right="120"/>
        <w:spacing w:after="0" w:line="261" w:lineRule="auto"/>
        <w:rPr>
          <w:sz w:val="20"/>
          <w:szCs w:val="20"/>
          <w:color w:val="auto"/>
        </w:rPr>
      </w:pPr>
      <w:r>
        <w:rPr>
          <w:rFonts w:ascii="Times New Roman" w:cs="Times New Roman" w:eastAsia="Times New Roman" w:hAnsi="Times New Roman"/>
          <w:sz w:val="19"/>
          <w:szCs w:val="19"/>
          <w:color w:val="auto"/>
        </w:rPr>
        <w:t>We have in the past been, and may in the future be, required to remediate contaminated properties currently or formerly owned or operated by us or third-party facilities that receive waste generated by our operations, regardless of whether such contamination resulted from our own actions or those of others and whether such actions complied with applicable laws at the time they were taken. In connection with certain acquisitions, we could assume, or be required to provide indemnification against, environmental liabilities that could expose us to material losses. Furthermore, the existence of contamination at properties that we own, lease or operate could result in increased operational costs or restrictions on our ability to use those properties as intended, including for mining purposes.</w:t>
      </w:r>
    </w:p>
    <w:p>
      <w:pPr>
        <w:spacing w:after="0" w:line="17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Numerous government authorities, such as the EPA and analogous state agencies, have the power to enforce compliance with these laws and the permits issued under them. Such enforcement actions often involve difficult and costly compliance measures or corrective actions. Certain environmental laws impose strict liability (i.e., no showing of "fault" is required) or joint and several liability for costs required to remediate and restore sites where hazardous substances, hydrocarbons or solid wastes have been stored or released. Failure to comply with these laws and regulations may result in the assessment of sanctions, including administrative, civil or criminal penalties, compensatory damages, the imposition of investigatory or remedial obligations, and the issuance of orders limiting or prohibiting some or all of our operations. In addition, we may experience delays in obtaining, or be unable to obtain, required permits, which may delay or interrupt our operations and limit our growth and revenue.</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impacts of our operations. Our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our industry could continue, resulting in increased costs of doing business and, consequently, affecting profitability.</w:t>
      </w:r>
    </w:p>
    <w:p>
      <w:pPr>
        <w:spacing w:after="0" w:line="19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immigration laws could result in significant liabilities, harm our reputation with our customers and disrupt our operations.</w:t>
      </w:r>
    </w:p>
    <w:p>
      <w:pPr>
        <w:spacing w:after="0" w:line="15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Although we take steps to verify the employment eligibility status of all our employees, some of our employees may, without our knowledge, be unauthorized workers. Unauthorized workers are subject to deportation and may subject us to fines or penalties and, if any of our workers are found to be unauthorized, we could experience adverse publicity that could make it more difficult to hire and retain qualified employees. Termination of a significant number of unauthorized employees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laws. If we fail to comply with these laws, our operations may be disrupted, and we may be subject to fines or, in extreme cases, criminal sanctions. In addition, many of our customer contracts specifically require compliance with immigration laws, and, in some cases, our customers audit compliance with these laws. Further, several of our customers require that we ensure that our subcontractors comply with these laws with respect to the workers that perform services for them. Failure to comply with these laws or to ensure compliance by our subcontractors could damage our reputation and may cause our customers to cancel contracts with us or to not award future business to us. These factors could adversely affect our financial condition, results of operations and cash flows.</w:t>
      </w: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the regulations of OSHA and state and local agencies that oversee safety compliance could adversely affect our business, financial condition, results of operations, profitability, cash flows and growth prospects.</w:t>
      </w:r>
    </w:p>
    <w:p>
      <w:pPr>
        <w:spacing w:after="0" w:line="1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Occupational Safety and Health Act of 1970, as amended,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have incurred, and will continue to incur, capital and operating expenditures and other costs in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0" w:right="1440" w:bottom="175" w:gutter="0" w:footer="0" w:header="0"/>
          <w:type w:val="continuous"/>
        </w:sectPr>
      </w:pPr>
    </w:p>
    <w:bookmarkStart w:id="40" w:name="page41"/>
    <w:bookmarkEnd w:id="40"/>
    <w:p>
      <w:pPr>
        <w:ind w:right="20"/>
        <w:spacing w:after="0" w:line="277" w:lineRule="auto"/>
        <w:rPr>
          <w:sz w:val="20"/>
          <w:szCs w:val="20"/>
          <w:color w:val="auto"/>
        </w:rPr>
      </w:pPr>
      <w:r>
        <w:rPr>
          <w:rFonts w:ascii="Times New Roman" w:cs="Times New Roman" w:eastAsia="Times New Roman" w:hAnsi="Times New Roman"/>
          <w:sz w:val="20"/>
          <w:szCs w:val="20"/>
          <w:color w:val="auto"/>
        </w:rPr>
        <w:t>ordinary course of business in complying with OSHA and other state and local laws and regulations, and could incur penalties and fines in the future, including, in extreme cases, criminal sanctions.</w:t>
      </w:r>
    </w:p>
    <w:p>
      <w:pPr>
        <w:spacing w:after="0" w:line="15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While we have invested, and will continue to invest, substantial resources in occupational health and safety programs, our industry involves a high degree of operational risk, and there can be no assurance that we will avoid significant liability. Although we have taken what we believe to be appropriate precautions, employees may suffer additional injuries in the future. Serious accidents of this nature may subject us to substantial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our safety record were to deteriorate, or if we suffered substantial penalties, adverse publicity or criminal prosecution for violation of health and safety regulations, customers could cancel existing contracts and not award future business to us, which could materially adversely affect our business, financial condition, results of operations, profitability, cash flows and growth prospects.</w:t>
      </w:r>
    </w:p>
    <w:p>
      <w:pPr>
        <w:spacing w:after="0" w:line="192"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A change in tax laws or regulations of any federal or state jurisdiction in which we operate could increase our tax burden and otherwise adversely affect our business, financial condition, results of operations and cash flows.</w:t>
      </w:r>
    </w:p>
    <w:p>
      <w:pPr>
        <w:spacing w:after="0" w:line="13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We continue to assess the impact of various U.S. federal, state and international legislative proposals that could result in a material increase to our U.S. federal, state and/or international taxes. We cannot predict whether any specific legislation will be enacted or the terms of any such legislation. However, if such proposals were to be enacted, or if modifications were to be made to certain existing regulations, the consequences could have a material adverse impact on us, including increasing our tax burden, increasing our cost of tax compliance or otherwise adversely affecting our business, financial condition, results of operations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From time to time, we are involved in litigation proceedings, potential liability claims and contract disputes which may reduce our profits.</w:t>
      </w:r>
    </w:p>
    <w:p>
      <w:pPr>
        <w:spacing w:after="0" w:line="15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may be subject to a variety of legal proceedings, liability claims or contract disputes. We engage in engineering and construction activities where design, construction or systems failures can result in substantial injury or damage. In addition, the nature of our business results in customers, subcontractors and suppliers occasionally presenting claims against us for recovery of costs they incurred in excess of what they expected to incur, or for which they believe they are not contractually liable. We have been and may in the future be named as a defendant in legal proceedings where parties may make a claim for damages or other remedies with respect to our projects or other matters. In proceedings when it is determined that we have liability, we may not be covered by insurance or, if covered, the dollar amount of these liabilities may exceed our policy limits. In addition, even where insurance is maintained for such exposure, the policies have deductibles resulting in our assuming exposure for a layer of coverage with respect to any such claims. Any liability not covered by our insurance, in excess of our insurance limits or, if covered by insurance but subject to a high deductible, could result in a significant loss for us, and reduce our cash available for operations. In other legal proceedings, liability claims or contract disputes, we may be covered by indemnification agreements which may at times be difficult to enforce. Even if enforceable, it may be difficult to recover under these agreements if the indemnitor does not have the ability to financially support the indemnity. Litigation and regulatory proceedings are subject to inherent uncertainties, and unfavorable rulings could occur. If we were to receive an unfavorable ruling in a matter or fail to fully or promptly recover on any claims (including customer claims), our business and results of operations could be materially harmed for reasons such as a material adverse impact on our liquidity and financial results. In addition, litigation and other proceedings may take up management's time and attention and take away from the time they are able to devote to other matters.</w:t>
      </w:r>
    </w:p>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Although climate change and increasing regulations often drive demand for water infrastructure, climate change, and related legislative and regulatory responses to climate change, may have a long-term impact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Although we believe that we may benefit from initiatives seeking to address the effects of climate change, and we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seek to mitigate our business risks associated with climate change by establishing robust environmental programs</w:t>
      </w:r>
    </w:p>
    <w:p>
      <w:pPr>
        <w:spacing w:after="0"/>
        <w:rPr>
          <w:sz w:val="20"/>
          <w:szCs w:val="20"/>
          <w:color w:val="auto"/>
        </w:rPr>
      </w:pPr>
      <w:r>
        <w:rPr>
          <w:rFonts w:ascii="Times New Roman" w:cs="Times New Roman" w:eastAsia="Times New Roman" w:hAnsi="Times New Roman"/>
          <w:sz w:val="20"/>
          <w:szCs w:val="20"/>
          <w:color w:val="auto"/>
        </w:rPr>
        <w:t>and partnering with organizations who are also focused on mitigating their own climate related risks, we recognize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0" w:right="1440" w:bottom="175" w:gutter="0" w:footer="0" w:header="0"/>
          <w:type w:val="continuous"/>
        </w:sectPr>
      </w:pPr>
    </w:p>
    <w:bookmarkStart w:id="41" w:name="page42"/>
    <w:bookmarkEnd w:id="41"/>
    <w:p>
      <w:pPr>
        <w:ind w:right="60"/>
        <w:spacing w:after="0" w:line="244" w:lineRule="auto"/>
        <w:rPr>
          <w:sz w:val="20"/>
          <w:szCs w:val="20"/>
          <w:color w:val="auto"/>
        </w:rPr>
      </w:pPr>
      <w:r>
        <w:rPr>
          <w:rFonts w:ascii="Times New Roman" w:cs="Times New Roman" w:eastAsia="Times New Roman" w:hAnsi="Times New Roman"/>
          <w:sz w:val="20"/>
          <w:szCs w:val="20"/>
          <w:color w:val="auto"/>
        </w:rPr>
        <w:t>that there are inherent climate related risks wherever business is conducted. Access to clean water and reliable energy in the communities where we conduct our business is a priority and is not guaranteed. Any of these locations may be vulnerable to the adverse effects of climate change. For example, California, where we conduct a significant amount of business, has historically experienced, and is projected to continue to experience, climate-related events including drought and water scarcity, warmer temperatures, wildfires and air quality impacts and power shut-offs associated with wildfire prevention. Climate-related events, including the increasing frequency of extreme weather events and their impact on critical infrastructure in the U.S. and elsewhere, have the potential to disrupt our business, our third-party suppliers, and the business of our customers, and may cause us to experience higher attrition, losses and additional costs to maintain or resume operations.</w:t>
      </w:r>
    </w:p>
    <w:p>
      <w:pPr>
        <w:spacing w:after="0" w:line="19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Additionally, in many countries and jurisdictions, including the United States, governmental bodies are enacting new or additional legislation and regulations to reduce or mitigate the potential impacts of climate change. If we, our suppliers, or our customers are required to comply with these laws and regulations, or if we choose to take voluntary steps to reduce or mitigate our impact on climate change, we may experience increased costs for energy, production, transportation, and raw materials, increased capital expenditures, or increased insurance premiums and deductibles, which could adversely impact our operations. Inconsistency of legislation and regulations among jurisdictions may also affect the costs of compliance with such laws and regulations. Any assessment of the potential impact of future climate change legislation, regulations or industry standards is uncertain given the wide scope of potential regulatory change in the United States.</w:t>
      </w:r>
    </w:p>
    <w:p>
      <w:pPr>
        <w:spacing w:after="0" w:line="19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Physical, transition and regulatory risks related to climate change could have a material adverse impact on our business, financial condition and results of operations.</w:t>
      </w:r>
    </w:p>
    <w:p>
      <w:pPr>
        <w:spacing w:after="0" w:line="1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Physical risks related to climate change, such as changing sea levels, temperature fluctuations, severe storms, and energy and technological disruptions, could cause delays and increases in project costs, resulting in variability in our revenue and profitability, as well as potentially adverse impacts to our results of operations and financial condition. In addition, growing public concern about climate change has resulted in the increased focus of local, state, regional, national and international regulatory bodies on greenhouse gas emissions and climate change issues. Legislation to regulate greenhouse gas emissions has periodically been introduced in the Congress and in the legislatures of various states in which we operate, and there has been a wide-ranging policy debate, both in the United States and internationally, regarding the regulation of greenhouse gas emissions. Such policy changes, including any enactment of increasingly stringent emissions or other environmental regulations, could increase the costs of projects for us and for our customers and, in some cases, delay or even prevent a project from going forward, thereby potentially reducing demand for our services. Consequently, this could have a material adverse effect on our business, financial condition and results of operations.</w:t>
      </w:r>
    </w:p>
    <w:p>
      <w:pPr>
        <w:spacing w:after="0" w:line="196"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Increasing focus by stakeholders on policies and practices related to corporate responsibility could result in additional costs and could adversely impact our reputation, investor perception, employee retention and willingness of third parties to do business with us.</w:t>
      </w:r>
    </w:p>
    <w:p>
      <w:pPr>
        <w:spacing w:after="0" w:line="17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In recent years, there has been increasing focus from stakeholders, including government agencies, investors, consumers and employees, on our policies and practices related to corporate responsibility, including environment, climate, diversity and inclusion, human rights and governance transparency. Various jurisdictions are developing climate-related laws or regulations that could cause us to incur additional direct costs for compliance, as well as indirect costs resulting from our customers, suppliers, or additional compliance costs that are passed on to us. Additionally, public interest and legislative pressure related to public companies’ corporate responsibility practices continues to grow. If our policies and practices do not meet regulatory requirements or stakeholders’ evolving expectations for responsible corporate citizenship in areas including environmental stewardship, employee health and safety practices, director and employee diversity, human capital management and corporate governance, our reputation and employee retention may be negatively impacted, and customers and suppliers may be unwilling to do business with us. In addition, we are subject to various federal and state laws in connection with our operations, and inconsistency in legislation and regulations among jurisdictions and expected additional regulations may require greater resources to monitor, report and comply with various practices related to corporate responsibility. Any assessment of the potential impact of future corporate responsibility-related regulations or industry standards is uncertain given the wide scope of potential regulatory change where we operate. Further, there is an increasing number of state-level anti-ESG initiatives in the United States that may conflict with other regulatory requirements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0" w:right="1440" w:bottom="175" w:gutter="0" w:footer="0" w:header="0"/>
          <w:type w:val="continuous"/>
        </w:sectPr>
      </w:pPr>
    </w:p>
    <w:bookmarkStart w:id="42" w:name="page43"/>
    <w:bookmarkEnd w:id="42"/>
    <w:p>
      <w:pPr>
        <w:ind w:right="40"/>
        <w:spacing w:after="0" w:line="258" w:lineRule="auto"/>
        <w:rPr>
          <w:sz w:val="20"/>
          <w:szCs w:val="20"/>
          <w:color w:val="auto"/>
        </w:rPr>
      </w:pPr>
      <w:r>
        <w:rPr>
          <w:rFonts w:ascii="Times New Roman" w:cs="Times New Roman" w:eastAsia="Times New Roman" w:hAnsi="Times New Roman"/>
          <w:sz w:val="20"/>
          <w:szCs w:val="20"/>
          <w:color w:val="auto"/>
        </w:rPr>
        <w:t>or various stakeholders’ expectations. If we fail to comply or meet the evolving legal and regulatory requirements or expectations of our various stakeholders, we may be subject to enforcement actions, required to pay fines, and/or investors may sell their share, all of which could have short- and long-term impacts on our business and operations.</w:t>
      </w:r>
    </w:p>
    <w:p>
      <w:pPr>
        <w:spacing w:after="0" w:line="178"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Deterioration of the United States economy could have a material adverse effect on our business, financial condition and results of operations.</w:t>
      </w:r>
    </w:p>
    <w:p>
      <w:pPr>
        <w:spacing w:after="0" w:line="15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To the extent that Congress is unable to lower United States debt substantially, a decrease in federal spending could result, which could negatively impact the ability of government agencies to fund existing or new infrastructure projects. In addition, such actions could have a material adverse effect on the financial markets and economic conditions in the United States as well as throughout the world, which may limit our ability and the ability of our customers to obtain financing and/or could impair our ability to execute our acquisition strategy. Deterioration in general economic activity and infrastructure spending or Congress deficit reduction measures could have a material adverse effect on our business, financial condition, results of operations and cash flows.</w:t>
      </w:r>
    </w:p>
    <w:p>
      <w:pPr>
        <w:spacing w:after="0" w:line="19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In addition to the increased cost we have incurred, and expect to continue to incur as an independent company following our separation from AECOM in January 2021, as a public company whose shares are listed on Nasdaq, we will incur additional accounting, legal and other expenses that we did not incur as a private company, including costs associated with our public company reporting requirements under the Exchange Act. We also anticipate that we will incur costs associated with corporate governance requirements, including requirements under Section 404 and other provisions of the Sarbanes-Oxley Act, as well as rules implemented by the SEC, the listing requirements of Nasdaq and other applicable securities rules and regulations. Compliance with these rules and regulations will increase our legal and financial compliance costs, introduce new costs, such as investor relations, stock exchange listing fees, stockholder reporting and directors and officers liability insurance, and will make some activities more time-consuming and costly. Furthermore, compliance with these rules will require a substantial investment of management's time, and this investment may result in a diversion of management's time and attention from revenue-generating activities. We are currently evaluating and monitoring developments with respect to these rules, and we cannot predict or estimate the amount of additional costs we may incur or the timing of such costs, which are likely to be material.</w:t>
      </w:r>
    </w:p>
    <w:p>
      <w:pPr>
        <w:spacing w:after="0" w:line="20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auto"/>
        </w:rPr>
        <w:t>In addition, changing laws, regulations and standards relating to corporate governance and public disclosure are creating uncertainty for public companies, creating additional legal and financial compliance costs and requiring additional investment of management's time.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additional costs necessitated by ongoing revisions to disclosure and governance practices. In addition,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Securities Markets and Ownership of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controlling stockholder is able to exert substantial influence.</w:t>
      </w:r>
    </w:p>
    <w:p>
      <w:pPr>
        <w:spacing w:after="0" w:line="23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Our controlling stockholder beneficially owns over 80% of our outstanding shares of common stock. As a result, the controlling stockholder can exert substantial influence over the outcome of any corporate matter submitted to our stockholders for approval, including the election of directors and any transaction that might cause a change in control, such as a merger or acquisition. Any stockholder in favor of a matter that is opposed by our controlling stockholder and members of our management would have to obtain a significant number of votes to overrule their votes.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0" w:right="1440" w:bottom="175" w:gutter="0" w:footer="0" w:header="0"/>
          <w:type w:val="continuous"/>
        </w:sectPr>
      </w:pPr>
    </w:p>
    <w:bookmarkStart w:id="43" w:name="page44"/>
    <w:bookmarkEnd w:id="43"/>
    <w:p>
      <w:pPr>
        <w:ind w:right="4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Because we are a “controlled company” under the listing standards of Nasdaq and the rules of the SEC, our stockholders do not have certain corporate governance protections that are available to stockholders of companies that are not controlled companies.</w:t>
      </w:r>
    </w:p>
    <w:p>
      <w:pPr>
        <w:spacing w:after="0" w:line="17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Our controlling stockholder controls a majority of the voting power of our outstanding common stock. As a result, although we do not rely on the “controlled company” exemption, we are a “controlled company” under the listing standards of Nasdaq and SEC rules, and we qualify for exemptions from certain corporate governance requirements. Specifically, we are not required to comply with certain provisions requiring that (i) a majority of our directors be independent, (ii) the compensation of our executives be determined by independent directors or (iii) nominees for election to our board of directors be selected by independent directors. If we elect to take advantage of some or all of these exemptions, our stockholders may not have the protections that these rules are intended to provide. Although we do not currently rely on any of the “controlled company” exemptions, we may do so in the future. Our status as a “controlled company” could cause our common stock to be less attractive to certain investors or otherwise reduce the trading price of our common stock.</w:t>
      </w:r>
    </w:p>
    <w:p>
      <w:pPr>
        <w:spacing w:after="0" w:line="192"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do not anticipate paying any cash dividends in the foreseeable future. Therefore, if our share price does not appreciate, our investors may not experience gains and could potentially lose on their investment in our shares.</w:t>
      </w:r>
    </w:p>
    <w:p>
      <w:pPr>
        <w:spacing w:after="0" w:line="1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do not anticipate paying any cash dividends on our common stock in the foreseeable future. We currently intend to retain all available funds and any future earnings to fund the development and growth of our business. Any determination to pay dividends in the future will be at the discretion of our board of directors and will depend upon results of operations, financial condition, contractual restrictions, including any indebtedness we may incur, restrictions imposed by applicable law and other factors our board of directors deems relevant. As a result, capital appreciation, if any, of our shares will be investors’ sole source of gain for the foreseeable future.</w:t>
      </w:r>
    </w:p>
    <w:p>
      <w:pPr>
        <w:spacing w:after="0" w:line="19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88" w:lineRule="exact"/>
        <w:rPr>
          <w:sz w:val="20"/>
          <w:szCs w:val="20"/>
          <w:color w:val="auto"/>
        </w:rPr>
      </w:pPr>
    </w:p>
    <w:p>
      <w:pPr>
        <w:ind w:left="980" w:right="320" w:hanging="491"/>
        <w:spacing w:after="0" w:line="278" w:lineRule="auto"/>
        <w:tabs>
          <w:tab w:leader="none" w:pos="98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56" w:lineRule="exact"/>
        <w:rPr>
          <w:rFonts w:ascii="Arial" w:cs="Arial" w:eastAsia="Arial" w:hAnsi="Arial"/>
          <w:sz w:val="19"/>
          <w:szCs w:val="19"/>
          <w:color w:val="auto"/>
        </w:rPr>
      </w:pPr>
    </w:p>
    <w:p>
      <w:pPr>
        <w:ind w:left="980" w:right="120" w:hanging="491"/>
        <w:spacing w:after="0" w:line="262"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required approval of at least 66</w:t>
      </w:r>
      <w:r>
        <w:rPr>
          <w:rFonts w:ascii="Times New Roman" w:cs="Times New Roman" w:eastAsia="Times New Roman" w:hAnsi="Times New Roman"/>
          <w:sz w:val="10"/>
          <w:szCs w:val="10"/>
          <w:color w:val="auto"/>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20"/>
          <w:szCs w:val="20"/>
          <w:color w:val="auto"/>
        </w:rPr>
        <w:t>% of the shares entitled to vote at an election of directors to adopt, amend or repeal our bylaws or repeal the provisions of our amended and restated certificate of incorporation regarding the election and removal of directors,</w:t>
      </w:r>
    </w:p>
    <w:p>
      <w:pPr>
        <w:spacing w:after="0" w:line="78" w:lineRule="exact"/>
        <w:rPr>
          <w:rFonts w:ascii="Arial" w:cs="Arial" w:eastAsia="Arial" w:hAnsi="Arial"/>
          <w:sz w:val="20"/>
          <w:szCs w:val="20"/>
          <w:color w:val="auto"/>
        </w:rPr>
      </w:pPr>
    </w:p>
    <w:p>
      <w:pPr>
        <w:ind w:left="980" w:right="4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 prohibition on stockholder action by written consent, which forces stockholder action to be taken at an annual or special meeting of our stockholders, and</w:t>
      </w:r>
    </w:p>
    <w:p>
      <w:pPr>
        <w:spacing w:after="0" w:line="64" w:lineRule="exact"/>
        <w:rPr>
          <w:rFonts w:ascii="Arial" w:cs="Arial" w:eastAsia="Arial" w:hAnsi="Arial"/>
          <w:sz w:val="20"/>
          <w:szCs w:val="20"/>
          <w:color w:val="auto"/>
        </w:rPr>
      </w:pPr>
    </w:p>
    <w:p>
      <w:pPr>
        <w:ind w:left="980" w:right="140" w:hanging="491"/>
        <w:spacing w:after="0" w:line="252"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In addition, these provisions would apply even if we were to receive an offer that some stockholders may consider beneficial.</w:t>
      </w:r>
    </w:p>
    <w:p>
      <w:pPr>
        <w:spacing w:after="0" w:line="15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We are also subject to the anti-takeover provisions contained in Section 203 of the Delaware General Corporation Law (“DGCL”). Under Section 203, a corporation may not, in general, engage in a business combination with 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20" w:right="1440" w:bottom="175" w:gutter="0" w:footer="0" w:header="0"/>
          <w:type w:val="continuous"/>
        </w:sectPr>
      </w:pPr>
    </w:p>
    <w:bookmarkStart w:id="44" w:name="page45"/>
    <w:bookmarkEnd w:id="44"/>
    <w:p>
      <w:pPr>
        <w:ind w:right="620"/>
        <w:spacing w:after="0" w:line="277" w:lineRule="auto"/>
        <w:rPr>
          <w:sz w:val="20"/>
          <w:szCs w:val="20"/>
          <w:color w:val="auto"/>
        </w:rPr>
      </w:pPr>
      <w:r>
        <w:rPr>
          <w:rFonts w:ascii="Times New Roman" w:cs="Times New Roman" w:eastAsia="Times New Roman" w:hAnsi="Times New Roman"/>
          <w:sz w:val="20"/>
          <w:szCs w:val="20"/>
          <w:color w:val="auto"/>
        </w:rPr>
        <w:t>holder of 15% or more of its capital stock unless the holder has held the stock for three years or, among other exceptions, our board of directors has approved the transaction.</w:t>
      </w:r>
    </w:p>
    <w:p>
      <w:pPr>
        <w:spacing w:after="0" w:line="15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charter documents provide that the Court of Chancery of the State of Delaware (or if such court does not have jurisdiction, another state or the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8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Our amended and restated charter documents provide that unless we consent to the selection of an alternative forum, the Court of Chancery of the State of Delaware (or if such court does not have jurisdiction, another state or the federal courts (as appropriate) located within the State of Delaware) shall, to the fullest extent permitted by law, be the sole and exclusive forum for any (i) derivative action or proceeding brought on our behalf, (ii) action asserting a claim of breach of a fiduciary duty owed by any current or former director, officer, or other employee, or stockholder of ours to us or our stockholders, (iii) action asserting a claim against us or any current or former director or officer of ours arising pursuant to any provision of the DGCL, or our amended and restated certificate of incorporation or our amended and restated bylaws or as to which the DGCL confers jurisdiction on the Court of Chancery of the State of Delaware, or (iv) action asserting a claim governed by the internal affairs doctrine of the State of Delaware. 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19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shares of our capital stock shall be deemed to have notice of and consented to the forum provisions in our amended and restated charter documents, except our stockholders will not be deemed to have waived (and cannot waive) compliance with the federal securities laws and the rules and regulations thereunder. This choice of forum provision may limit a stockholder’s ability to bring a claim in a judicial forum that it finds favorable for disputes with us or any of our current or former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92"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satisfy the requirements of Section 404 of the Sarbanes-Oxley Act as it applies to an emerging growth company or if we are unable to maintain effective internal control over financial reporting, investors may lose confidence in the accuracy of our financial statements and our share price may be adversely affected.</w:t>
      </w:r>
    </w:p>
    <w:p>
      <w:pPr>
        <w:spacing w:after="0" w:line="16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 are subject to Section 404(a) of the Sarbanes-Oxley Act, which requires a company that is subject to the reporting requirements of the U.S. securities laws to conduct a comprehensive evaluation of its internal control over financial reporting. To comply with this statute, we are required to document and test our internal control procedures, and our management is required to assess and report on the effectiveness of our internal control over financial reporting. Although we are required to disclose significant changes made in our internal controls and procedures on a quarterly basis, we are not required to make our first report on the effectiveness of our internal control over financial reporting until our annual report next year (the year following our first Annual Report on Form 10-K).</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comply with Section 404(a) of the Sarbanes-Oxley Act by testing, assessing and, as necessary, strengthening our system of internal controls. Even after our initial assessment and report, we will need to continue to test, assess and, as necessary, strengthen our internal controls on an annual basis. Furthermore, as our business continues to grow, our internal controls will become more complex and will require significantly more resources and attention to ensure that our internal controls remain effective overall. This process is complicated and time-consuming, and may divert management’s attention from revenue-generating activities. For so long as we continue to qualify as an emerging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20" w:right="1440" w:bottom="175" w:gutter="0" w:footer="0" w:header="0"/>
          <w:type w:val="continuous"/>
        </w:sectPr>
      </w:pPr>
    </w:p>
    <w:bookmarkStart w:id="45" w:name="page46"/>
    <w:bookmarkEnd w:id="45"/>
    <w:p>
      <w:pPr>
        <w:ind w:right="120"/>
        <w:spacing w:after="0" w:line="252" w:lineRule="auto"/>
        <w:rPr>
          <w:sz w:val="20"/>
          <w:szCs w:val="20"/>
          <w:color w:val="auto"/>
        </w:rPr>
      </w:pPr>
      <w:r>
        <w:rPr>
          <w:rFonts w:ascii="Times New Roman" w:cs="Times New Roman" w:eastAsia="Times New Roman" w:hAnsi="Times New Roman"/>
          <w:sz w:val="20"/>
          <w:szCs w:val="20"/>
          <w:color w:val="auto"/>
        </w:rPr>
        <w:t>growth company or smaller reporting company, we will not be required to comply with Section 404(b) of the Sarbanes-Oxley Act, which requires an independent registered public accounting firm to attest to and report on management’s assessment of its internal control over financial reporting. If we become subject to Section 404(b) of the Sarbanes- Oxley Act, we will incur additional expenses in order to obtain the required attestation report.</w:t>
      </w:r>
    </w:p>
    <w:p>
      <w:pPr>
        <w:spacing w:after="0" w:line="18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Over the course of testing our internal controls, our management may identify material weaknesses, which may not be remediated in a timely manner to meet the deadline imposed by the Sarbanes-Oxley Act. 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In the course of preparing the financial statements that are included in this Annual Report on Form 10-K, our management has determined that as of December 29, 2023, we have material weaknesses in our internal control over financial reporting, which relate to the design and operation of internal control over financial reporting, lack of formal and effective controls over certain financial statement account balances, and lack of effective controls over the Committee of Sponsoring Organizations of the Treadway Commission (“COSO”) principles including control environment, risk assessment, control activities, information and communications and monitoring.</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order to remediate these material weaknesses, we have hired and continue to seek out additional accounting and finance staff members with public company reporting experience, to augment our current staff and to improve the effectiveness of our closing and financial reporting processes. We have designed and implemented new entity level controls, information system general controls and financial reporting controls. 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w:t>
      </w:r>
    </w:p>
    <w:p>
      <w:pPr>
        <w:spacing w:after="0" w:line="19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If we fail to remediate the material weaknesses identified above in a timely manner or if we identify future deficiencies in our internal control over financial reporting,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23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disclosure controls and procedures are intended to be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there are judgments in decision-making,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2" w:lineRule="exact"/>
        <w:rPr>
          <w:sz w:val="20"/>
          <w:szCs w:val="20"/>
          <w:color w:val="auto"/>
        </w:rPr>
      </w:pPr>
    </w:p>
    <w:p>
      <w:pPr>
        <w:jc w:val="both"/>
        <w:ind w:right="5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spacing w:after="0" w:line="18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9"/>
          <w:szCs w:val="19"/>
          <w:color w:val="auto"/>
        </w:rPr>
        <w:t>We are an emerging growth company, as defined in the JOBS Act, and may remain an emerging growth company until December 29, 2028 (the last day of the fiscal year following the fifth anniversary of our IPO). However, if certain events occur prior to December 29, 2028, including if we become a “large accelerated filer,” as defined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20" w:right="1440" w:bottom="175" w:gutter="0" w:footer="0" w:header="0"/>
          <w:type w:val="continuous"/>
        </w:sectPr>
      </w:pPr>
    </w:p>
    <w:bookmarkStart w:id="46" w:name="page47"/>
    <w:bookmarkEnd w:id="46"/>
    <w:p>
      <w:pPr>
        <w:ind w:right="60"/>
        <w:spacing w:after="0" w:line="249" w:lineRule="auto"/>
        <w:rPr>
          <w:sz w:val="20"/>
          <w:szCs w:val="20"/>
          <w:color w:val="auto"/>
        </w:rPr>
      </w:pPr>
      <w:r>
        <w:rPr>
          <w:rFonts w:ascii="Times New Roman" w:cs="Times New Roman" w:eastAsia="Times New Roman" w:hAnsi="Times New Roman"/>
          <w:sz w:val="20"/>
          <w:szCs w:val="20"/>
          <w:color w:val="auto"/>
        </w:rPr>
        <w:t>under the Exchange Act, our annual gross revenue exceeds $1.235 billion or we issue more than $1.0 billion of non-convertible debt in any three-year period, we will cease to be an emerging growth company.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1" w:lineRule="exact"/>
        <w:rPr>
          <w:sz w:val="20"/>
          <w:szCs w:val="20"/>
          <w:color w:val="auto"/>
        </w:rPr>
      </w:pPr>
    </w:p>
    <w:p>
      <w:pPr>
        <w:ind w:left="980" w:right="30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being permitted to provide only two years of audited financial statements, in addition to any required unaudited interim financial statements;</w:t>
      </w:r>
    </w:p>
    <w:p>
      <w:pPr>
        <w:spacing w:after="0" w:line="64"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not being required to comply with the auditor attestation requirements in the assessment of our internal control over financial reporting pursuant to the Sarbanes-Oxley Act of 2002 (Sarbanes-Oxley);</w:t>
      </w:r>
    </w:p>
    <w:p>
      <w:pPr>
        <w:spacing w:after="0" w:line="64" w:lineRule="exact"/>
        <w:rPr>
          <w:rFonts w:ascii="Arial" w:cs="Arial" w:eastAsia="Arial" w:hAnsi="Arial"/>
          <w:sz w:val="20"/>
          <w:szCs w:val="20"/>
          <w:color w:val="auto"/>
        </w:rPr>
      </w:pPr>
    </w:p>
    <w:p>
      <w:pPr>
        <w:ind w:left="980" w:right="120" w:hanging="491"/>
        <w:spacing w:after="0" w:line="252"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not being required to comply with any requirement that may be adopted by the Public Company Accounting Oversight Board regarding mandatory audit firm rotation, identification of critical audit matters or a supplement to the auditor’s report providing additional information about the audit and the financial statements, unless the SEC determines the new rules are necessary for protecting the public;</w:t>
      </w:r>
    </w:p>
    <w:p>
      <w:pPr>
        <w:spacing w:after="0" w:line="87"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reduced disclosure obligations regarding executive compensation; and</w:t>
      </w:r>
    </w:p>
    <w:p>
      <w:pPr>
        <w:spacing w:after="0" w:line="133" w:lineRule="exact"/>
        <w:rPr>
          <w:rFonts w:ascii="Arial" w:cs="Arial" w:eastAsia="Arial" w:hAnsi="Arial"/>
          <w:sz w:val="20"/>
          <w:szCs w:val="20"/>
          <w:color w:val="auto"/>
        </w:rPr>
      </w:pPr>
    </w:p>
    <w:p>
      <w:pPr>
        <w:ind w:left="980" w:right="30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exemptions from the requirements of holding a nonbinding advisory vote on executive compensation and stockholder approval of any golden parachute payments not previously approved.</w:t>
      </w:r>
    </w:p>
    <w:p>
      <w:pPr>
        <w:spacing w:after="0" w:line="16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rely on other exemptions provided by the JOBS Act, including without limitation, not being required to comply with the auditor attestation requirements of Section 404(b) of Sarbanes-Oxley. Our financial statements may, therefore, not be comparable to those of companies that comply with such accounting standards and auditor attestation requirements. We cannot predict whether investors will find our common stock less attractive as a result of our reliance on these exemptions. If some investors find our common stock less attractive as a result, there may be a less active trading market for our common stock and our stock price may be reduced or more volatile.</w:t>
      </w:r>
    </w:p>
    <w:p>
      <w:pPr>
        <w:spacing w:after="0" w:line="19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0"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management has limited experience operating a public company and therefore may have difficulty in successfully and profitably operating our business, or complying with regulatory requirements.</w:t>
      </w:r>
    </w:p>
    <w:p>
      <w:pPr>
        <w:spacing w:after="0" w:line="15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Prior to the closing of our IPO, our management had no experience operating a public company. As a result, we cannot assure you that we will be able to successfully operate as a public company, execute our business strategies as a public company, or comply with regulatory requirements applicable to public companies.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20" w:right="1440" w:bottom="175"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maintain a data security plan designed to provide a documented and formalized information security policy to detect, identify, classify and mitigate internal and external cybersecurity and other data security threats. This cybersecurity program is based in-part on, and its effectiveness is measured using applicable industry standards, and is included into our overall enterprise risk management program.</w:t>
      </w:r>
    </w:p>
    <w:p>
      <w:pPr>
        <w:spacing w:after="0" w:line="18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In furtherance of detecting, identifying, classifying and mitigating cybersecurity and other data security threats, we also:</w:t>
      </w:r>
    </w:p>
    <w:p>
      <w:pPr>
        <w:spacing w:after="0" w:line="63" w:lineRule="exact"/>
        <w:rPr>
          <w:sz w:val="20"/>
          <w:szCs w:val="20"/>
          <w:color w:val="auto"/>
        </w:rPr>
      </w:pPr>
    </w:p>
    <w:p>
      <w:pPr>
        <w:ind w:left="980" w:right="60" w:hanging="491"/>
        <w:spacing w:after="0" w:line="258"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assess and analyze baseline configuration standards to ensure that they meet the intent and effectiveness required for the overall safety and security (both logically and physically) of critical system components;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ensure the asset inventory for relevant system components is kept current and accurate;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ensure that network connection arrangement documents are kept current and accurate;</w:t>
      </w:r>
    </w:p>
    <w:p>
      <w:pPr>
        <w:spacing w:after="0" w:line="133"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limit access rights to system components to authorized personnel only, with all end-users being properly granted access in accordance with stated access rights policies and procedures;</w:t>
      </w:r>
    </w:p>
    <w:p>
      <w:pPr>
        <w:spacing w:after="0" w:line="64" w:lineRule="exact"/>
        <w:rPr>
          <w:rFonts w:ascii="Arial" w:cs="Arial" w:eastAsia="Arial" w:hAnsi="Arial"/>
          <w:sz w:val="20"/>
          <w:szCs w:val="20"/>
          <w:color w:val="auto"/>
        </w:rPr>
      </w:pPr>
    </w:p>
    <w:p>
      <w:pPr>
        <w:ind w:left="980" w:right="60" w:hanging="491"/>
        <w:spacing w:after="0" w:line="258"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deploy anti-virus solutions on all applicable system components, with the respective anti-virus solutions being the most current versions available from applicable vendors, enabled for automatic updates and configured for conducting periodic scans as necessary;</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provision, hardens, secures and locks down critical system resources;</w:t>
      </w:r>
    </w:p>
    <w:p>
      <w:pPr>
        <w:spacing w:after="0" w:line="133"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use internal and external vulnerability scanning procedures, along with network layer and anti-hacking tests;</w:t>
      </w:r>
    </w:p>
    <w:p>
      <w:pPr>
        <w:spacing w:after="0" w:line="64" w:lineRule="exact"/>
        <w:rPr>
          <w:rFonts w:ascii="Arial" w:cs="Arial" w:eastAsia="Arial" w:hAnsi="Arial"/>
          <w:sz w:val="20"/>
          <w:szCs w:val="20"/>
          <w:color w:val="auto"/>
        </w:rPr>
      </w:pPr>
    </w:p>
    <w:p>
      <w:pPr>
        <w:ind w:left="980" w:right="60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facilitate requests for validation of baseline configurations for purposes of regulatory compliance assessments and audits; and</w:t>
      </w:r>
    </w:p>
    <w:p>
      <w:pPr>
        <w:spacing w:after="0" w:line="64" w:lineRule="exact"/>
        <w:rPr>
          <w:rFonts w:ascii="Arial" w:cs="Arial" w:eastAsia="Arial" w:hAnsi="Arial"/>
          <w:sz w:val="20"/>
          <w:szCs w:val="20"/>
          <w:color w:val="auto"/>
        </w:rPr>
      </w:pPr>
    </w:p>
    <w:p>
      <w:pPr>
        <w:ind w:left="980" w:right="54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provide mandatory training and optional certification accreditation for purposes of maintaining an acceptable level of information security expertise necessary for configuration management.</w:t>
      </w:r>
    </w:p>
    <w:p>
      <w:pPr>
        <w:spacing w:after="0" w:line="16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Conducting our businesses involves the collection, storage, use, disclosure, processing, transfer, and other handling of a wide variety of information, including personally identifiable information, for various purposes in our businesses. Like other comparable-sized companies that process a wide variety of information, our information technology systems, networks and infrastructure and technology have been, and may in the future be, vulnerable to cybersecurity attacks and other data security threats. These types of attacks are constantly evolving, may be difficult to detect quickly, and often are not recognized until after they have been launched against a target. For more information about these and other cybersecurity risks faced by us, see “</w:t>
      </w:r>
      <w:r>
        <w:rPr>
          <w:rFonts w:ascii="Times New Roman" w:cs="Times New Roman" w:eastAsia="Times New Roman" w:hAnsi="Times New Roman"/>
          <w:sz w:val="20"/>
          <w:szCs w:val="20"/>
          <w:i w:val="1"/>
          <w:iCs w:val="1"/>
          <w:color w:val="auto"/>
        </w:rPr>
        <w:t>Risk Factors – Risks Related to Our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Industry – We rely on IT systems to conduct our business, and disruption, failure or security breaches of these systems could adversely affect our business and results of operations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 Cybersecurity attacks on or breaches of our information technology environment could result in business interruptions, remediation costs and/or legal claims</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Our board of directors has ultimate oversight for risks relating to our data security plan. In addition, the board of directors has delegated primary responsibility to the Audit Committee for assessing and managing data privacy and cybersecurity risks, reviewing data security and cybersecurity policies and processes with respect to data privacy and cybersecurity risk assessment and management, reviewing steps management has taken to monitor and control such risks, and regularly inquires with our management team, internal auditors and independent auditors in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16" w:right="1440" w:bottom="175" w:gutter="0" w:footer="0" w:header="0"/>
          <w:type w:val="continuous"/>
        </w:sectPr>
      </w:pPr>
    </w:p>
    <w:bookmarkStart w:id="48" w:name="page49"/>
    <w:bookmarkEnd w:id="48"/>
    <w:p>
      <w:pPr>
        <w:ind w:right="100"/>
        <w:spacing w:after="0" w:line="277" w:lineRule="auto"/>
        <w:rPr>
          <w:sz w:val="20"/>
          <w:szCs w:val="20"/>
          <w:color w:val="auto"/>
        </w:rPr>
      </w:pPr>
      <w:r>
        <w:rPr>
          <w:rFonts w:ascii="Times New Roman" w:cs="Times New Roman" w:eastAsia="Times New Roman" w:hAnsi="Times New Roman"/>
          <w:sz w:val="20"/>
          <w:szCs w:val="20"/>
          <w:color w:val="auto"/>
        </w:rPr>
        <w:t>connection therewith. The Audit Committee is also responsible for overseeing our investigation of, and response to, any cybersecurity attacks or threats.</w:t>
      </w:r>
    </w:p>
    <w:p>
      <w:pPr>
        <w:spacing w:after="0" w:line="159"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9"/>
          <w:szCs w:val="19"/>
          <w:color w:val="auto"/>
        </w:rPr>
        <w:t>We also have a dedicated team of employees overseeing its data security plan and initiatives, led by our Director of IT, and works directly in consultation with internal and external advisors in connection with these efforts. With over fifteen years of experience in the field of cybersecurity, our Director of IT brings a wealth of expertise to his role.</w:t>
      </w:r>
    </w:p>
    <w:p>
      <w:pPr>
        <w:spacing w:after="0" w:line="2"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His background includes extensive experience in all facets of information technology and information security. His in-depth knowledge and experience are instrumental in developing and executing our cybersecurity strategies.</w:t>
      </w:r>
    </w:p>
    <w:p>
      <w:pPr>
        <w:spacing w:after="0" w:line="18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We have developed a procedure by which the board of directors and management are informed about relevant cybersecurity risks, allowing for effective cybersecurity oversight and the ability of the Company to monitor, prevent, detect, mitigate and remediate cybersecurity incidents. The results of the our evaluations and the feedback from its engagements are used to drive alignment on, and prioritization of, initiatives to enhance our cybersecurity strategies, policies, and processes and make recommendations to improve processes.</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the event of a potential or actual cybersecurity event, the Director of IT immediately notifies general counsel at which point the information security incident response plan is activated if warranted. The information security incident response plan provides the procedures for responding, including personnel required to be informed and updated. The board of directors is informed promptly in the event such incident is, or is reasonably expected to have, a material impact on operations or financial condition.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0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complete the scope work on our projects from multiple locations throughout the country. We lease administrative offices in Irvine, California, Denver, Colorado, Suisun, California, and in other locations throughout the United States. Our equipment maintenance and repair facility is located in Tracy, California, and we also use the site to store our inventory of construction materials. Below are our primary regional office and equipment facility locations. We have identified the locations that support our business strategy and maintain contractor licenses in all other states where we have current or awarded projects and have both project offices on site and sufficient equipment available at every facility. Should a project opportunity arise in a state in which we currently do not maintain a contractor license, we have the ability to obtain additional licenses and transport equipment and other resources to such states where we do not currently operate to meet the requirements of future contracts. Accordingly, we believe we have active and appropriate licensing in all strategic locations and we have the ability to obtain the proper licenses in additional states we may choose to do business in the future.</w:t>
      </w:r>
    </w:p>
    <w:p>
      <w:pPr>
        <w:spacing w:after="0" w:line="394"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8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220" w:type="dxa"/>
            <w:vAlign w:val="bottom"/>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Owned or Leased</w:t>
            </w:r>
          </w:p>
        </w:tc>
        <w:tc>
          <w:tcPr>
            <w:tcW w:w="220" w:type="dxa"/>
            <w:vAlign w:val="bottom"/>
          </w:tcPr>
          <w:p>
            <w:pPr>
              <w:spacing w:after="0"/>
              <w:rPr>
                <w:sz w:val="22"/>
                <w:szCs w:val="22"/>
                <w:color w:val="auto"/>
              </w:rPr>
            </w:pPr>
          </w:p>
        </w:tc>
        <w:tc>
          <w:tcPr>
            <w:tcW w:w="3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b w:val="1"/>
                <w:bCs w:val="1"/>
                <w:color w:val="auto"/>
              </w:rPr>
              <w:t>Approximate Size</w:t>
            </w:r>
          </w:p>
        </w:tc>
      </w:tr>
      <w:tr>
        <w:trPr>
          <w:trHeight w:val="201"/>
        </w:trPr>
        <w:tc>
          <w:tcPr>
            <w:tcW w:w="28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Irvine, CA – Office</w:t>
            </w:r>
          </w:p>
        </w:tc>
        <w:tc>
          <w:tcPr>
            <w:tcW w:w="220" w:type="dxa"/>
            <w:vAlign w:val="bottom"/>
          </w:tcPr>
          <w:p>
            <w:pPr>
              <w:spacing w:after="0"/>
              <w:rPr>
                <w:sz w:val="17"/>
                <w:szCs w:val="17"/>
                <w:color w:val="auto"/>
              </w:rPr>
            </w:pPr>
          </w:p>
        </w:tc>
        <w:tc>
          <w:tcPr>
            <w:tcW w:w="202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Leased</w:t>
            </w:r>
          </w:p>
        </w:tc>
        <w:tc>
          <w:tcPr>
            <w:tcW w:w="2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6,000 sq. ft.</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Denver, CO – Office</w:t>
            </w:r>
          </w:p>
        </w:tc>
        <w:tc>
          <w:tcPr>
            <w:tcW w:w="2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Leased</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7,211 sq. ft.</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Suisun, CA – Office</w:t>
            </w:r>
          </w:p>
        </w:tc>
        <w:tc>
          <w:tcPr>
            <w:tcW w:w="2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Leased</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10,221 sq. ft.</w:t>
            </w:r>
          </w:p>
        </w:tc>
      </w:tr>
      <w:tr>
        <w:trPr>
          <w:trHeight w:val="26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Tracy, CA – Equipment Facility</w:t>
            </w:r>
          </w:p>
        </w:tc>
        <w:tc>
          <w:tcPr>
            <w:tcW w:w="22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220" w:type="dxa"/>
            <w:vAlign w:val="bottom"/>
          </w:tcPr>
          <w:p>
            <w:pPr>
              <w:spacing w:after="0"/>
              <w:rPr>
                <w:sz w:val="23"/>
                <w:szCs w:val="2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10,000 sq. ft., 43 acres</w:t>
            </w: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04"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color w:val="auto"/>
        </w:rPr>
        <w:t>For a discussion of our legal proceedings, see Note 12 - Commitments and Contingencies of the notes to the consolidated financial statements included in Item 8 of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20" w:right="1440" w:bottom="175"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20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auto"/>
        </w:rPr>
        <w:t>Our common stock, par value $0.01 per share, trades on the NASDAQ Global Select Market under the trading symbol "SHIM".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20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Substantially all of our stockholders maintain their shares in "street name" accounts and are not individually stockholders of record. According to the records of our transfer agent, there were five stockholders of record as of March 25,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0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We do not intend to declare or pay dividends on our common stock in the near-term. Instead, we anticipate that all of our future earnings will be retained to support our operations and to finance the growth and development of our business. Any future determination to pay dividends will be made by our board of directors, subject to applicable laws, and will depend on a number of factors, including our financial condition, liquidity and capital requirements, contractual restrictions, general economic conditions and other factors that our board of directors may deem relevant.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Performance Graph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 as we are a “smaller reporting company,” as defined in the Exchange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Proceeds</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On November 16, 2023, we completed our IPO, in which we issued and sold 3,575,000 shares of our common stock at an initial public offering price of $7.00 per share. We raised net proceeds of approximately $19 million, after deducting the underwriting discount of $2 million and offering expenses of $4 million. All shares sold in our IPO were registered pursuant to a registration statement on Form S-1 (File No. 333-274870) (as amended, the “Registration Statement”), declared effective by the SEC on November 13, 2023. Roth Capital Partners, LLC acted as representative of the underwriters for the offering. The offering terminated after the sale of all securities registered pursuant to the Registration Statement. No payments for such expenses were made directly or indirectly to</w:t>
      </w:r>
    </w:p>
    <w:p>
      <w:pPr>
        <w:ind w:right="20"/>
        <w:spacing w:after="0" w:line="248" w:lineRule="auto"/>
        <w:tabs>
          <w:tab w:leader="none" w:pos="2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officers or directors or their associates, (ii) any persons owning 10% or more of any class of our equity securities, or (iii) any of our affiliates.</w:t>
      </w:r>
    </w:p>
    <w:p>
      <w:pPr>
        <w:spacing w:after="0" w:line="1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contemplated in the Registration Statement, we used the net proceeds of the offering, together with cash on hand, to repay all outstanding borrowing under our Revolving Credit Facility. There was no material change in the use of the net proceeds from our IPO from the expected use of proceeds described in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Issuer Repurchase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16" w:right="1440" w:bottom="17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0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i w:val="1"/>
          <w:iCs w:val="1"/>
          <w:color w:val="auto"/>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Annual Report on Form 10-K, particularly in "Forward-Looking Statements" and “Risk Factors” as well as those described from time to time in our future reports with the SEC. This discussion should be read in conjunction with our audited consolidated financial statements and the notes thereto included elsewhere in this Annual Report on Form 10-K.</w:t>
      </w:r>
    </w:p>
    <w:p>
      <w:pPr>
        <w:spacing w:after="0" w:line="168" w:lineRule="exact"/>
        <w:rPr>
          <w:sz w:val="20"/>
          <w:szCs w:val="20"/>
          <w:color w:val="auto"/>
        </w:rPr>
      </w:pPr>
    </w:p>
    <w:p>
      <w:pPr>
        <w:ind w:right="420"/>
        <w:spacing w:after="0" w:line="248" w:lineRule="auto"/>
        <w:rPr>
          <w:sz w:val="20"/>
          <w:szCs w:val="20"/>
          <w:color w:val="auto"/>
        </w:rPr>
      </w:pPr>
      <w:r>
        <w:rPr>
          <w:rFonts w:ascii="Times New Roman" w:cs="Times New Roman" w:eastAsia="Times New Roman" w:hAnsi="Times New Roman"/>
          <w:sz w:val="20"/>
          <w:szCs w:val="20"/>
          <w:i w:val="1"/>
          <w:iCs w:val="1"/>
          <w:color w:val="auto"/>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are a leading provider of water and other critical infrastructure solutions nationwide. We have a long history of successfully completing complex water projects, ranging from the world’s largest wastewater recycling and purification system in California to the iconic Hoover Dam. According to Engineering News Record, in 2023, Shimmick was nationally ranked as a top ten builder of water supply (#6), dams and reservoirs (#7), and water treatment and desalination plants (#7). Shimmick is led by industry veterans, many with over 20 years of experience, and works closely with its customers to deliver complete solutions, including long-term operations and maintenance.</w:t>
      </w:r>
    </w:p>
    <w:p>
      <w:pPr>
        <w:spacing w:after="0" w:line="160"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color w:val="auto"/>
        </w:rPr>
        <w:t>We selectively focus on infrastructure projects relating to water treatment, water resources and other critical infrastructure.</w:t>
      </w:r>
    </w:p>
    <w:p>
      <w:pPr>
        <w:spacing w:after="0" w:line="1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As of December 29, 2023, we had a backlog of projects of approximately $1.1 billion, with over half of that amount comprised of water projects. We believe we have the ability to self-perform many of these projects, differentiating us from many of our competitors. Self-performance enables us to better control the critical aspects of our projects, reducing the risk of cost and schedule overruns.</w:t>
      </w:r>
    </w:p>
    <w:p>
      <w:pPr>
        <w:spacing w:after="0" w:line="15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 November 16, 2023, the Company completed its initial public offering of 3,575,000 shares of common stock at a price to the public of $7.00 per share (the “IPO”). The net proceeds to the Company from the IPO were approximately $23 million, after deducting underwriting discounts and commissions and before estimated offering expenses payable by the Company. The Company’s common stock began trading on the NASDAQ Global Market on November 14,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Our History and the AECOM Sale Transactions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Overview</w:t>
      </w:r>
    </w:p>
    <w:p>
      <w:pPr>
        <w:spacing w:after="0" w:line="22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52525"/>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18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52525"/>
        </w:rPr>
        <w:t>In January 2021, we were sold by AECOM and began operating as an independent company under new private ownership ("AECOM Sale Transactions") under a December 2020 Purchase Agreement with SCC Group, a special purpose entity formed for the purpose of entering into and consummating the sale transactions including acquiring 100% of the stock of the Company and certain other assets related to our business and our subsidiaries to the extent owned by Seller Entities or their affiliates.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16" w:right="1440" w:bottom="175" w:gutter="0" w:footer="0" w:header="0"/>
          <w:type w:val="continuous"/>
        </w:sectPr>
      </w:pPr>
    </w:p>
    <w:bookmarkStart w:id="51" w:name="page52"/>
    <w:bookmarkEnd w:id="51"/>
    <w:p>
      <w:pPr>
        <w:spacing w:after="0" w:line="21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52525"/>
        </w:rPr>
        <w:t>On November 19, 2021, SCC Group was merged with SCCI National Holdings, Inc., with SCCI National Holdings, Inc. becoming the surviving entity. In the intervening period between January 2, 2021 and November 19, 2021, SCC Group’s assets and liabilities consisted of its investment in SCCI National Holdings, Inc., as well as rights to receive any net working capital settlement and any obligation to pay contingent consideration related to its January 2, 2021 acquisition of SCCI National Holdings,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Retained Claim Reimbursements</w:t>
      </w:r>
    </w:p>
    <w:p>
      <w:pPr>
        <w:spacing w:after="0" w:line="22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252525"/>
        </w:rPr>
        <w:t>The Purchase Agreement provides that the Seller Entities will retain the right to participate in a portion of the net proceeds of any cash, cash equivalents or other assets received or recovered from any claims relating to certain specified Legacy Projects that were ongoing at the time of closing. AECOM is entitled to a percentage of proceeds we may receive, subject to a specified cap for each such Legacy Project.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Earn Out Considerations</w:t>
      </w:r>
    </w:p>
    <w:p>
      <w:pPr>
        <w:spacing w:after="0" w:line="22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52525"/>
        </w:rPr>
        <w:t>As additional consideration, the Seller Entities were entitled to receive a one-time additional cash payment based on the performance of the business for the 36-month period beginning October 3, 2020 and ending September 29, 2023 based on specified aggregate Adjusted EBITDA (as defined in the Purchase Agreement) thresholds set forth in the Purchase Agreement. No earnout was achieved based on the Company's calculation of Adjusted EBITDA (as defined in the Purchase Agreement) of the business to date and no corresponding additional cash payment has been made, or is expected to be made, to Seller Entities.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Shared Tax Benefits</w:t>
      </w:r>
    </w:p>
    <w:p>
      <w:pPr>
        <w:spacing w:after="0" w:line="22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52525"/>
        </w:rPr>
        <w:t>Pursuant to the internal reorganization of its business in early 2020, AECOM agreed to make an election under Treasury Regulations Section 1.1502-36(d)(6) that could result in certain tax benefits to us (in the form of cash or a reduction in liability for taxes). We are obligated to share with AECOM actual tax benefits realized (i.e., in cash or through an actual reduction in liability for tax).</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Other Items</w:t>
      </w:r>
    </w:p>
    <w:p>
      <w:pPr>
        <w:spacing w:after="0" w:line="22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52525"/>
        </w:rPr>
        <w:t>We have agreed to indemnify the Seller Entities for any costs or expenses incurred under any outstanding letters of credit, surety bonds, guarantees, advance payment guarantees and other contractual obligations arising from or relating to the assets purchased or the liabilities assumed under the Purchase Agreement, including bonds relating to the Legacy Projects. Further, the Seller Entities have provided a conditional guaranty required by any surety bonds and/or a bonding program relating to certain guaranteed obligations and payment obligations with respect to the certain other assets related to our business and our subsidiaries to the extent owned by Seller Entities or their affiliates.</w:t>
      </w:r>
    </w:p>
    <w:p>
      <w:pPr>
        <w:spacing w:after="0" w:line="19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52525"/>
        </w:rPr>
        <w:t>For additional information regarding AECOM, see “</w:t>
      </w:r>
      <w:r>
        <w:rPr>
          <w:rFonts w:ascii="Times New Roman" w:cs="Times New Roman" w:eastAsia="Times New Roman" w:hAnsi="Times New Roman"/>
          <w:sz w:val="20"/>
          <w:szCs w:val="20"/>
          <w:i w:val="1"/>
          <w:iCs w:val="1"/>
          <w:color w:val="252525"/>
        </w:rPr>
        <w:t>Risk Factors — Risks Related to Our Business and Industry —</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252525"/>
        </w:rPr>
        <w:t>We are involved in ongoing disputes with our prior owner, AECOM, which could adversely impact our business</w:t>
      </w:r>
      <w:r>
        <w:rPr>
          <w:rFonts w:ascii="Times New Roman" w:cs="Times New Roman" w:eastAsia="Times New Roman" w:hAnsi="Times New Roman"/>
          <w:sz w:val="20"/>
          <w:szCs w:val="20"/>
          <w:color w:val="252525"/>
        </w:rPr>
        <w:t>,”</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w:t>
      </w:r>
      <w:r>
        <w:rPr>
          <w:rFonts w:ascii="Times New Roman" w:cs="Times New Roman" w:eastAsia="Times New Roman" w:hAnsi="Times New Roman"/>
          <w:sz w:val="20"/>
          <w:szCs w:val="20"/>
          <w:i w:val="1"/>
          <w:iCs w:val="1"/>
          <w:color w:val="252525"/>
        </w:rPr>
        <w:t>— We may be required to make additional payments to AECOM pursuant to contractual arrangements” and “— If</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252525"/>
        </w:rPr>
        <w:t>AECOM defaults on its contractual obligations under agreements in which we are a beneficiary, our business could be materially and adversely impacted.</w:t>
      </w:r>
      <w:r>
        <w:rPr>
          <w:rFonts w:ascii="Times New Roman" w:cs="Times New Roman" w:eastAsia="Times New Roman" w:hAnsi="Times New Roman"/>
          <w:sz w:val="20"/>
          <w:szCs w:val="20"/>
          <w:color w:val="252525"/>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52525"/>
        </w:rPr>
        <w:t>Key Factors Affecting Our Performance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We expect that our results of operations will be affected by a number of factors which have discussed below.</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i w:val="1"/>
          <w:iCs w:val="1"/>
          <w:color w:val="252525"/>
        </w:rPr>
        <w:t xml:space="preserve">Weather, natural disasters and emergencies. </w:t>
      </w:r>
      <w:r>
        <w:rPr>
          <w:rFonts w:ascii="Times New Roman" w:cs="Times New Roman" w:eastAsia="Times New Roman" w:hAnsi="Times New Roman"/>
          <w:sz w:val="20"/>
          <w:szCs w:val="20"/>
          <w:color w:val="252525"/>
        </w:rPr>
        <w:t>The results of our business in a given period can be impacted by</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adverse weather conditions, severe weather 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40" w:right="1440" w:bottom="175" w:gutter="0" w:footer="0" w:header="0"/>
        </w:sectPr>
      </w:pPr>
    </w:p>
    <w:bookmarkStart w:id="52" w:name="page53"/>
    <w:bookmarkEnd w:id="52"/>
    <w:p>
      <w:pPr>
        <w:spacing w:after="0" w:line="2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i w:val="1"/>
          <w:iCs w:val="1"/>
          <w:color w:val="252525"/>
        </w:rPr>
        <w:t xml:space="preserve">Seasonality. </w:t>
      </w:r>
      <w:r>
        <w:rPr>
          <w:rFonts w:ascii="Times New Roman" w:cs="Times New Roman" w:eastAsia="Times New Roman" w:hAnsi="Times New Roman"/>
          <w:sz w:val="20"/>
          <w:szCs w:val="20"/>
          <w:color w:val="252525"/>
        </w:rPr>
        <w:t>Typically, our revenue is lowest in the first quarter of the year because cold, snowy or wet conditions</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can create challenging working 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w:t>
      </w:r>
    </w:p>
    <w:p>
      <w:pPr>
        <w:spacing w:after="0" w:line="2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i w:val="1"/>
          <w:iCs w:val="1"/>
          <w:color w:val="252525"/>
        </w:rPr>
        <w:t>Our Ability to Fulfill Backlog Orders</w:t>
      </w:r>
      <w:r>
        <w:rPr>
          <w:rFonts w:ascii="Times New Roman" w:cs="Times New Roman" w:eastAsia="Times New Roman" w:hAnsi="Times New Roman"/>
          <w:sz w:val="19"/>
          <w:szCs w:val="19"/>
          <w:color w:val="252525"/>
        </w:rPr>
        <w:t>. Our backlog consists of the estimated amount of services to be completed</w:t>
      </w:r>
      <w:r>
        <w:rPr>
          <w:rFonts w:ascii="Times New Roman" w:cs="Times New Roman" w:eastAsia="Times New Roman" w:hAnsi="Times New Roman"/>
          <w:sz w:val="19"/>
          <w:szCs w:val="19"/>
          <w:i w:val="1"/>
          <w:iCs w:val="1"/>
          <w:color w:val="252525"/>
        </w:rPr>
        <w:t xml:space="preserve"> </w:t>
      </w:r>
      <w:r>
        <w:rPr>
          <w:rFonts w:ascii="Times New Roman" w:cs="Times New Roman" w:eastAsia="Times New Roman" w:hAnsi="Times New Roman"/>
          <w:sz w:val="19"/>
          <w:szCs w:val="19"/>
          <w:color w:val="252525"/>
        </w:rPr>
        <w:t>from future work on uncompleted 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i w:val="1"/>
          <w:iCs w:val="1"/>
          <w:color w:val="252525"/>
        </w:rPr>
        <w:t xml:space="preserve">Our Ability to Obtain New Projects. </w:t>
      </w:r>
      <w:r>
        <w:rPr>
          <w:rFonts w:ascii="Times New Roman" w:cs="Times New Roman" w:eastAsia="Times New Roman" w:hAnsi="Times New Roman"/>
          <w:sz w:val="20"/>
          <w:szCs w:val="20"/>
          <w:color w:val="252525"/>
        </w:rPr>
        <w:t>We selectively bid on projects that we believe offer an opportunity to meet our</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profitability objectives or that offer the 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52525"/>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pacing w:after="0" w:line="2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i w:val="1"/>
          <w:iCs w:val="1"/>
          <w:color w:val="252525"/>
        </w:rPr>
        <w:t>Our Ability to Successfully Expand our Footprint</w:t>
      </w:r>
      <w:r>
        <w:rPr>
          <w:rFonts w:ascii="Times New Roman" w:cs="Times New Roman" w:eastAsia="Times New Roman" w:hAnsi="Times New Roman"/>
          <w:sz w:val="20"/>
          <w:szCs w:val="20"/>
          <w:color w:val="252525"/>
        </w:rPr>
        <w:t>. We review our bidding opportunities to attempt to minimize</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concentration of work with any one 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spacing w:after="0" w:line="20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color w:val="252525"/>
        </w:rPr>
        <w:t>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proposal, where contracts are awarded based on a combination of technical qualifications, proposed project team, schedule, the ability to obtain</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40" w:right="1440" w:bottom="175" w:gutter="0" w:footer="0" w:header="0"/>
          <w:type w:val="continuous"/>
        </w:sectPr>
      </w:pPr>
    </w:p>
    <w:bookmarkStart w:id="53" w:name="page54"/>
    <w:bookmarkEnd w:id="53"/>
    <w:p>
      <w:pPr>
        <w:jc w:val="both"/>
        <w:ind w:right="180"/>
        <w:spacing w:after="0" w:line="268" w:lineRule="auto"/>
        <w:rPr>
          <w:sz w:val="20"/>
          <w:szCs w:val="20"/>
          <w:color w:val="auto"/>
        </w:rPr>
      </w:pPr>
      <w:r>
        <w:rPr>
          <w:rFonts w:ascii="Times New Roman" w:cs="Times New Roman" w:eastAsia="Times New Roman" w:hAnsi="Times New Roman"/>
          <w:sz w:val="20"/>
          <w:szCs w:val="20"/>
          <w:color w:val="252525"/>
        </w:rPr>
        <w:t>surety bonds, past performance on similar projects and price, which we believe creates a barrier to entry. Contracts are principally awarded on a fixed-price basis, and we earn and recognize revenue using an input measure of total costs incurred divided by total costs expected to be incurred.</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i w:val="1"/>
          <w:iCs w:val="1"/>
          <w:color w:val="252525"/>
        </w:rPr>
        <w:t xml:space="preserve">Our Ability to Obtain Approval of Change Orders and Successfully Pursue Claims. </w:t>
      </w:r>
      <w:r>
        <w:rPr>
          <w:rFonts w:ascii="Times New Roman" w:cs="Times New Roman" w:eastAsia="Times New Roman" w:hAnsi="Times New Roman"/>
          <w:sz w:val="20"/>
          <w:szCs w:val="20"/>
          <w:color w:val="252525"/>
        </w:rPr>
        <w:t>We are subject to variation in</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scope and cost of projects from our 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sector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sector customers may seek to impose contractual risk-shifting provisions more aggressively or there could be statutory and other legal prohibitions that prevent or limit contract changes or equitable adjustments.</w:t>
      </w:r>
    </w:p>
    <w:p>
      <w:pPr>
        <w:spacing w:after="0" w:line="2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i w:val="1"/>
          <w:iCs w:val="1"/>
          <w:color w:val="252525"/>
        </w:rPr>
        <w:t>Our Ability to Control Project Costs</w:t>
      </w:r>
      <w:r>
        <w:rPr>
          <w:rFonts w:ascii="Times New Roman" w:cs="Times New Roman" w:eastAsia="Times New Roman" w:hAnsi="Times New Roman"/>
          <w:sz w:val="20"/>
          <w:szCs w:val="20"/>
          <w:color w:val="252525"/>
        </w:rPr>
        <w:t>. Our costs primarily consist of payroll, equipment, materials, and other project</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related expenses. With a consistent 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i w:val="1"/>
          <w:iCs w:val="1"/>
          <w:color w:val="252525"/>
        </w:rPr>
        <w:t>Our Ability to Control Selling General and Administrative Costs</w:t>
      </w:r>
      <w:r>
        <w:rPr>
          <w:rFonts w:ascii="Times New Roman" w:cs="Times New Roman" w:eastAsia="Times New Roman" w:hAnsi="Times New Roman"/>
          <w:sz w:val="20"/>
          <w:szCs w:val="20"/>
          <w:color w:val="252525"/>
        </w:rPr>
        <w:t>. Because we now exist as a public company, we</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will incur significant expenses on an ongoing basis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will generally be selling, general and administrative expenses. We have also implemented the 2023 Omnibus Incentive Plan to align our equity compensation program with public company plans and practices, which we expect will increase our stock-based compensation expense.</w:t>
      </w:r>
    </w:p>
    <w:p>
      <w:pPr>
        <w:spacing w:after="0" w:line="19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i w:val="1"/>
          <w:iCs w:val="1"/>
          <w:color w:val="252525"/>
        </w:rPr>
        <w:t xml:space="preserve">Joint Ventures. </w:t>
      </w:r>
      <w:r>
        <w:rPr>
          <w:rFonts w:ascii="Times New Roman" w:cs="Times New Roman" w:eastAsia="Times New Roman" w:hAnsi="Times New Roman"/>
          <w:sz w:val="20"/>
          <w:szCs w:val="20"/>
          <w:color w:val="252525"/>
        </w:rPr>
        <w:t>We participate in various construction joint ventures in order to share expertise, risk and resources</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We Assess Performance of Our Business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20" w:right="1440" w:bottom="17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198"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color w:val="auto"/>
        </w:rPr>
        <w:t>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98"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color w:val="auto"/>
        </w:rPr>
        <w:t>Gross margin represents revenue less contract costs. Contract costs consist of all direct and indirect costs on contracts, including raw materials, labor, equipment costs, and subcontractor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9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 Earnings of Unconsolidated Joint Ventures</w:t>
      </w:r>
    </w:p>
    <w:p>
      <w:pPr>
        <w:spacing w:after="0" w:line="198"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color w:val="auto"/>
        </w:rPr>
        <w:t>Equity in earnings of unconsolidated joint ventures includes our return on investment in unconsolidated joint ventures.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The following table sets forth selected financial data for the fiscal year ended December 29, 2023 compared to the fiscal year ended December 30,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9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30,</w:t>
            </w: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360"/>
              <w:spacing w:after="0" w:line="155"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29,</w:t>
            </w:r>
          </w:p>
        </w:tc>
        <w:tc>
          <w:tcPr>
            <w:tcW w:w="280" w:type="dxa"/>
            <w:vAlign w:val="bottom"/>
          </w:tcPr>
          <w:p>
            <w:pPr>
              <w:spacing w:after="0"/>
              <w:rPr>
                <w:sz w:val="15"/>
                <w:szCs w:val="15"/>
                <w:color w:val="auto"/>
              </w:rPr>
            </w:pP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Borders>
              <w:bottom w:val="single" w:sz="8" w:color="E9E9E9"/>
            </w:tcBorders>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 data)</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E9E9E9"/>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E9E9E9"/>
            </w:tcBorders>
          </w:tcPr>
          <w:p>
            <w:pPr>
              <w:spacing w:after="0"/>
              <w:rPr>
                <w:sz w:val="17"/>
                <w:szCs w:val="17"/>
                <w:color w:val="auto"/>
              </w:rPr>
            </w:pPr>
          </w:p>
        </w:tc>
        <w:tc>
          <w:tcPr>
            <w:tcW w:w="80" w:type="dxa"/>
            <w:vAlign w:val="bottom"/>
            <w:tcBorders>
              <w:bottom w:val="single" w:sz="8" w:color="E9E9E9"/>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Change</w:t>
            </w:r>
          </w:p>
        </w:tc>
        <w:tc>
          <w:tcPr>
            <w:tcW w:w="300" w:type="dxa"/>
            <w:vAlign w:val="bottom"/>
            <w:tcBorders>
              <w:bottom w:val="single" w:sz="8" w:color="E9E9E9"/>
            </w:tcBorders>
            <w:gridSpan w:val="2"/>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3"/>
              </w:rPr>
              <w:t>Change</w:t>
            </w:r>
          </w:p>
        </w:tc>
        <w:tc>
          <w:tcPr>
            <w:tcW w:w="440" w:type="dxa"/>
            <w:vAlign w:val="bottom"/>
            <w:gridSpan w:val="2"/>
          </w:tcPr>
          <w:p>
            <w:pPr>
              <w:spacing w:after="0"/>
              <w:rPr>
                <w:sz w:val="17"/>
                <w:szCs w:val="17"/>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060" w:type="dxa"/>
            <w:vAlign w:val="bottom"/>
            <w:gridSpan w:val="5"/>
            <w:shd w:val="clear" w:color="auto" w:fill="E9E9E9"/>
          </w:tcPr>
          <w:p>
            <w:pPr>
              <w:spacing w:after="0" w:line="174" w:lineRule="exact"/>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left w:val="single" w:sz="8" w:color="E9E9E9"/>
            </w:tcBorders>
            <w:shd w:val="clear" w:color="auto" w:fill="E9E9E9"/>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righ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632,806</w:t>
            </w:r>
          </w:p>
        </w:tc>
        <w:tc>
          <w:tcPr>
            <w:tcW w:w="160" w:type="dxa"/>
            <w:vAlign w:val="bottom"/>
            <w:shd w:val="clear" w:color="auto" w:fill="E9E9E9"/>
          </w:tcPr>
          <w:p>
            <w:pPr>
              <w:spacing w:after="0"/>
              <w:rPr>
                <w:sz w:val="15"/>
                <w:szCs w:val="15"/>
                <w:color w:val="auto"/>
              </w:rPr>
            </w:pPr>
          </w:p>
        </w:tc>
        <w:tc>
          <w:tcPr>
            <w:tcW w:w="200" w:type="dxa"/>
            <w:vAlign w:val="bottom"/>
            <w:tcBorders>
              <w:left w:val="single" w:sz="8" w:color="E9E9E9"/>
            </w:tcBorders>
            <w:shd w:val="clear" w:color="auto" w:fill="E9E9E9"/>
          </w:tcPr>
          <w:p>
            <w:pPr>
              <w:spacing w:after="0" w:line="174"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664,158</w:t>
            </w:r>
          </w:p>
        </w:tc>
        <w:tc>
          <w:tcPr>
            <w:tcW w:w="200" w:type="dxa"/>
            <w:vAlign w:val="bottom"/>
            <w:shd w:val="clear" w:color="auto" w:fill="E9E9E9"/>
          </w:tcPr>
          <w:p>
            <w:pPr>
              <w:spacing w:after="0"/>
              <w:rPr>
                <w:sz w:val="15"/>
                <w:szCs w:val="15"/>
                <w:color w:val="auto"/>
              </w:rPr>
            </w:pPr>
          </w:p>
        </w:tc>
        <w:tc>
          <w:tcPr>
            <w:tcW w:w="80" w:type="dxa"/>
            <w:vAlign w:val="bottom"/>
            <w:tcBorders>
              <w:left w:val="single" w:sz="8" w:color="E9E9E9"/>
            </w:tcBorders>
            <w:shd w:val="clear" w:color="auto" w:fill="E9E9E9"/>
          </w:tcPr>
          <w:p>
            <w:pPr>
              <w:spacing w:after="0"/>
              <w:rPr>
                <w:sz w:val="15"/>
                <w:szCs w:val="15"/>
                <w:color w:val="auto"/>
              </w:rPr>
            </w:pPr>
          </w:p>
        </w:tc>
        <w:tc>
          <w:tcPr>
            <w:tcW w:w="560" w:type="dxa"/>
            <w:vAlign w:val="bottom"/>
            <w:tcBorders>
              <w:lef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w w:val="87"/>
                <w:shd w:val="clear" w:color="auto" w:fill="E9E9E9"/>
              </w:rPr>
              <w:t>$ (31,352</w:t>
            </w:r>
          </w:p>
        </w:tc>
        <w:tc>
          <w:tcPr>
            <w:tcW w:w="200" w:type="dxa"/>
            <w:vAlign w:val="bottom"/>
            <w:shd w:val="clear" w:color="auto" w:fill="E9E9E9"/>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left w:val="single" w:sz="8" w:color="E9E9E9"/>
              <w:right w:val="single" w:sz="8" w:color="E9E9E9"/>
            </w:tcBorders>
            <w:shd w:val="clear" w:color="auto" w:fill="E9E9E9"/>
          </w:tcPr>
          <w:p>
            <w:pPr>
              <w:spacing w:after="0"/>
              <w:rPr>
                <w:sz w:val="15"/>
                <w:szCs w:val="15"/>
                <w:color w:val="auto"/>
              </w:rPr>
            </w:pPr>
          </w:p>
        </w:tc>
        <w:tc>
          <w:tcPr>
            <w:tcW w:w="88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5"/>
                <w:szCs w:val="15"/>
                <w:color w:val="auto"/>
              </w:rPr>
            </w:pPr>
          </w:p>
        </w:tc>
        <w:tc>
          <w:tcPr>
            <w:tcW w:w="108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100%</w:t>
            </w:r>
          </w:p>
        </w:tc>
        <w:tc>
          <w:tcPr>
            <w:tcW w:w="10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4"/>
        </w:trPr>
        <w:tc>
          <w:tcPr>
            <w:tcW w:w="30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610,434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640,643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(30,209)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gridSpan w:val="5"/>
            <w:vMerge w:val="restart"/>
            <w:shd w:val="clear" w:color="auto" w:fill="E9E9E9"/>
          </w:tcPr>
          <w:p>
            <w:pPr>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E9E9E9"/>
          </w:tcPr>
          <w:p>
            <w:pPr>
              <w:spacing w:after="0" w:line="20" w:lineRule="exact"/>
              <w:rPr>
                <w:sz w:val="1"/>
                <w:szCs w:val="1"/>
                <w:color w:val="auto"/>
              </w:rPr>
            </w:pPr>
          </w:p>
        </w:tc>
        <w:tc>
          <w:tcPr>
            <w:tcW w:w="200" w:type="dxa"/>
            <w:vAlign w:val="bottom"/>
            <w:tcBorders>
              <w:left w:val="single" w:sz="8" w:color="E9E9E9"/>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9E9E9"/>
          </w:tcPr>
          <w:p>
            <w:pPr>
              <w:spacing w:after="0" w:line="20" w:lineRule="exact"/>
              <w:rPr>
                <w:sz w:val="1"/>
                <w:szCs w:val="1"/>
                <w:color w:val="auto"/>
              </w:rPr>
            </w:pPr>
          </w:p>
        </w:tc>
        <w:tc>
          <w:tcPr>
            <w:tcW w:w="80" w:type="dxa"/>
            <w:vAlign w:val="bottom"/>
            <w:tcBorders>
              <w:left w:val="single" w:sz="8" w:color="E9E9E9"/>
            </w:tcBorders>
            <w:vMerge w:val="restart"/>
            <w:shd w:val="clear" w:color="auto" w:fill="E9E9E9"/>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E9E9E9"/>
          </w:tcPr>
          <w:p>
            <w:pPr>
              <w:spacing w:after="0" w:line="20" w:lineRule="exact"/>
              <w:rPr>
                <w:sz w:val="1"/>
                <w:szCs w:val="1"/>
                <w:color w:val="auto"/>
              </w:rPr>
            </w:pPr>
          </w:p>
        </w:tc>
        <w:tc>
          <w:tcPr>
            <w:tcW w:w="100" w:type="dxa"/>
            <w:vAlign w:val="bottom"/>
            <w:tcBorders>
              <w:left w:val="single" w:sz="8" w:color="E9E9E9"/>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E9E9E9"/>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60" w:type="dxa"/>
            <w:vAlign w:val="bottom"/>
            <w:gridSpan w:val="5"/>
            <w:vMerge w:val="continue"/>
            <w:shd w:val="clear" w:color="auto" w:fill="E9E9E9"/>
          </w:tcPr>
          <w:p>
            <w:pPr>
              <w:spacing w:after="0"/>
              <w:rPr>
                <w:sz w:val="15"/>
                <w:szCs w:val="15"/>
                <w:color w:val="auto"/>
              </w:rPr>
            </w:pPr>
          </w:p>
        </w:tc>
        <w:tc>
          <w:tcPr>
            <w:tcW w:w="140" w:type="dxa"/>
            <w:vAlign w:val="bottom"/>
            <w:tcBorders>
              <w:left w:val="single" w:sz="8" w:color="E9E9E9"/>
            </w:tcBorders>
            <w:shd w:val="clear" w:color="auto" w:fill="E9E9E9"/>
          </w:tcPr>
          <w:p>
            <w:pPr>
              <w:spacing w:after="0"/>
              <w:rPr>
                <w:sz w:val="15"/>
                <w:szCs w:val="15"/>
                <w:color w:val="auto"/>
              </w:rPr>
            </w:pPr>
          </w:p>
        </w:tc>
        <w:tc>
          <w:tcPr>
            <w:tcW w:w="880" w:type="dxa"/>
            <w:vAlign w:val="bottom"/>
            <w:tcBorders>
              <w:righ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22,372</w:t>
            </w:r>
          </w:p>
        </w:tc>
        <w:tc>
          <w:tcPr>
            <w:tcW w:w="160" w:type="dxa"/>
            <w:vAlign w:val="bottom"/>
            <w:shd w:val="clear" w:color="auto" w:fill="E9E9E9"/>
          </w:tcPr>
          <w:p>
            <w:pPr>
              <w:spacing w:after="0"/>
              <w:rPr>
                <w:sz w:val="15"/>
                <w:szCs w:val="15"/>
                <w:color w:val="auto"/>
              </w:rPr>
            </w:pPr>
          </w:p>
        </w:tc>
        <w:tc>
          <w:tcPr>
            <w:tcW w:w="200" w:type="dxa"/>
            <w:vAlign w:val="bottom"/>
            <w:tcBorders>
              <w:left w:val="single" w:sz="8" w:color="E9E9E9"/>
            </w:tcBorders>
            <w:shd w:val="clear" w:color="auto" w:fill="E9E9E9"/>
          </w:tcPr>
          <w:p>
            <w:pPr>
              <w:spacing w:after="0"/>
              <w:rPr>
                <w:sz w:val="15"/>
                <w:szCs w:val="15"/>
                <w:color w:val="auto"/>
              </w:rPr>
            </w:pPr>
          </w:p>
        </w:tc>
        <w:tc>
          <w:tcPr>
            <w:tcW w:w="76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23,515</w:t>
            </w:r>
          </w:p>
        </w:tc>
        <w:tc>
          <w:tcPr>
            <w:tcW w:w="200" w:type="dxa"/>
            <w:vAlign w:val="bottom"/>
            <w:vMerge w:val="continue"/>
            <w:shd w:val="clear" w:color="auto" w:fill="E9E9E9"/>
          </w:tcPr>
          <w:p>
            <w:pPr>
              <w:spacing w:after="0"/>
              <w:rPr>
                <w:sz w:val="15"/>
                <w:szCs w:val="15"/>
                <w:color w:val="auto"/>
              </w:rPr>
            </w:pPr>
          </w:p>
        </w:tc>
        <w:tc>
          <w:tcPr>
            <w:tcW w:w="80" w:type="dxa"/>
            <w:vAlign w:val="bottom"/>
            <w:tcBorders>
              <w:left w:val="single" w:sz="8" w:color="E9E9E9"/>
            </w:tcBorders>
            <w:vMerge w:val="continue"/>
            <w:shd w:val="clear" w:color="auto" w:fill="E9E9E9"/>
          </w:tcPr>
          <w:p>
            <w:pPr>
              <w:spacing w:after="0"/>
              <w:rPr>
                <w:sz w:val="15"/>
                <w:szCs w:val="15"/>
                <w:color w:val="auto"/>
              </w:rPr>
            </w:pPr>
          </w:p>
        </w:tc>
        <w:tc>
          <w:tcPr>
            <w:tcW w:w="560" w:type="dxa"/>
            <w:vAlign w:val="bottom"/>
            <w:tcBorders>
              <w:lef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(1,143)</w:t>
            </w:r>
          </w:p>
        </w:tc>
        <w:tc>
          <w:tcPr>
            <w:tcW w:w="200" w:type="dxa"/>
            <w:vAlign w:val="bottom"/>
            <w:vMerge w:val="continue"/>
            <w:shd w:val="clear" w:color="auto" w:fill="E9E9E9"/>
          </w:tcPr>
          <w:p>
            <w:pPr>
              <w:spacing w:after="0"/>
              <w:rPr>
                <w:sz w:val="15"/>
                <w:szCs w:val="15"/>
                <w:color w:val="auto"/>
              </w:rPr>
            </w:pPr>
          </w:p>
        </w:tc>
        <w:tc>
          <w:tcPr>
            <w:tcW w:w="100" w:type="dxa"/>
            <w:vAlign w:val="bottom"/>
            <w:tcBorders>
              <w:left w:val="single" w:sz="8" w:color="E9E9E9"/>
              <w:right w:val="single" w:sz="8" w:color="E9E9E9"/>
            </w:tcBorders>
            <w:shd w:val="clear" w:color="auto" w:fill="E9E9E9"/>
          </w:tcPr>
          <w:p>
            <w:pPr>
              <w:spacing w:after="0"/>
              <w:rPr>
                <w:sz w:val="15"/>
                <w:szCs w:val="15"/>
                <w:color w:val="auto"/>
              </w:rPr>
            </w:pPr>
          </w:p>
        </w:tc>
        <w:tc>
          <w:tcPr>
            <w:tcW w:w="880" w:type="dxa"/>
            <w:vAlign w:val="bottom"/>
            <w:gridSpan w:val="2"/>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5"/>
                <w:szCs w:val="15"/>
                <w:color w:val="auto"/>
              </w:rPr>
            </w:pPr>
          </w:p>
        </w:tc>
        <w:tc>
          <w:tcPr>
            <w:tcW w:w="80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E9E9E9"/>
          </w:tcPr>
          <w:p>
            <w:pPr>
              <w:spacing w:after="0"/>
              <w:rPr>
                <w:sz w:val="15"/>
                <w:szCs w:val="15"/>
                <w:color w:val="auto"/>
              </w:rPr>
            </w:pPr>
          </w:p>
        </w:tc>
        <w:tc>
          <w:tcPr>
            <w:tcW w:w="86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left w:val="single" w:sz="8" w:color="E9E9E9"/>
            </w:tcBorders>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60" w:type="dxa"/>
            <w:vAlign w:val="bottom"/>
            <w:gridSpan w:val="5"/>
            <w:shd w:val="clear" w:color="auto" w:fill="E9E9E9"/>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40" w:type="dxa"/>
            <w:vAlign w:val="bottom"/>
            <w:tcBorders>
              <w:left w:val="single" w:sz="8" w:color="E9E9E9"/>
            </w:tcBorders>
            <w:shd w:val="clear" w:color="auto" w:fill="E9E9E9"/>
          </w:tcPr>
          <w:p>
            <w:pPr>
              <w:spacing w:after="0"/>
              <w:rPr>
                <w:sz w:val="15"/>
                <w:szCs w:val="15"/>
                <w:color w:val="auto"/>
              </w:rPr>
            </w:pPr>
          </w:p>
        </w:tc>
        <w:tc>
          <w:tcPr>
            <w:tcW w:w="880" w:type="dxa"/>
            <w:vAlign w:val="bottom"/>
            <w:tcBorders>
              <w:right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60" w:type="dxa"/>
            <w:vAlign w:val="bottom"/>
            <w:shd w:val="clear" w:color="auto" w:fill="E9E9E9"/>
          </w:tcPr>
          <w:p>
            <w:pPr>
              <w:spacing w:after="0"/>
              <w:rPr>
                <w:sz w:val="15"/>
                <w:szCs w:val="15"/>
                <w:color w:val="auto"/>
              </w:rPr>
            </w:pPr>
          </w:p>
        </w:tc>
        <w:tc>
          <w:tcPr>
            <w:tcW w:w="200" w:type="dxa"/>
            <w:vAlign w:val="bottom"/>
            <w:tcBorders>
              <w:left w:val="single" w:sz="8" w:color="E9E9E9"/>
            </w:tcBorders>
            <w:shd w:val="clear" w:color="auto" w:fill="E9E9E9"/>
          </w:tcPr>
          <w:p>
            <w:pPr>
              <w:spacing w:after="0"/>
              <w:rPr>
                <w:sz w:val="15"/>
                <w:szCs w:val="15"/>
                <w:color w:val="auto"/>
              </w:rPr>
            </w:pPr>
          </w:p>
        </w:tc>
        <w:tc>
          <w:tcPr>
            <w:tcW w:w="7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40" w:type="dxa"/>
            <w:vAlign w:val="bottom"/>
            <w:gridSpan w:val="4"/>
            <w:shd w:val="clear" w:color="auto" w:fill="E9E9E9"/>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left w:val="single" w:sz="8" w:color="E9E9E9"/>
              <w:right w:val="single" w:sz="8" w:color="E9E9E9"/>
            </w:tcBorders>
            <w:shd w:val="clear" w:color="auto" w:fill="E9E9E9"/>
          </w:tcPr>
          <w:p>
            <w:pPr>
              <w:spacing w:after="0"/>
              <w:rPr>
                <w:sz w:val="15"/>
                <w:szCs w:val="15"/>
                <w:color w:val="auto"/>
              </w:rPr>
            </w:pPr>
          </w:p>
        </w:tc>
        <w:tc>
          <w:tcPr>
            <w:tcW w:w="880" w:type="dxa"/>
            <w:vAlign w:val="bottom"/>
            <w:gridSpan w:val="2"/>
            <w:shd w:val="clear" w:color="auto" w:fill="E9E9E9"/>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left w:val="single" w:sz="8" w:color="E9E9E9"/>
              <w:right w:val="single" w:sz="8" w:color="E9E9E9"/>
            </w:tcBorders>
            <w:shd w:val="clear" w:color="auto" w:fill="E9E9E9"/>
          </w:tcPr>
          <w:p>
            <w:pPr>
              <w:spacing w:after="0"/>
              <w:rPr>
                <w:sz w:val="15"/>
                <w:szCs w:val="15"/>
                <w:color w:val="auto"/>
              </w:rPr>
            </w:pPr>
          </w:p>
        </w:tc>
        <w:tc>
          <w:tcPr>
            <w:tcW w:w="8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E9E9E9"/>
          </w:tcPr>
          <w:p>
            <w:pPr>
              <w:spacing w:after="0"/>
              <w:rPr>
                <w:sz w:val="15"/>
                <w:szCs w:val="15"/>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left w:val="single" w:sz="8" w:color="E9E9E9"/>
            </w:tcBorders>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40" w:type="dxa"/>
            <w:vAlign w:val="bottom"/>
            <w:gridSpan w:val="4"/>
          </w:tcPr>
          <w:p>
            <w:pPr>
              <w:ind w:left="200"/>
              <w:spacing w:after="0" w:line="174" w:lineRule="exact"/>
              <w:rPr>
                <w:sz w:val="20"/>
                <w:szCs w:val="20"/>
                <w:color w:val="auto"/>
              </w:rPr>
            </w:pPr>
            <w:r>
              <w:rPr>
                <w:rFonts w:ascii="Times New Roman" w:cs="Times New Roman" w:eastAsia="Times New Roman" w:hAnsi="Times New Roman"/>
                <w:sz w:val="16"/>
                <w:szCs w:val="16"/>
                <w:color w:val="auto"/>
              </w:rPr>
              <w:t>Total operating expenses</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64,125</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63,074</w:t>
            </w:r>
          </w:p>
        </w:tc>
        <w:tc>
          <w:tcPr>
            <w:tcW w:w="200" w:type="dxa"/>
            <w:vAlign w:val="bottom"/>
          </w:tcPr>
          <w:p>
            <w:pPr>
              <w:spacing w:after="0"/>
              <w:rPr>
                <w:sz w:val="15"/>
                <w:szCs w:val="15"/>
                <w:color w:val="auto"/>
              </w:rPr>
            </w:pPr>
          </w:p>
        </w:tc>
        <w:tc>
          <w:tcPr>
            <w:tcW w:w="640" w:type="dxa"/>
            <w:vAlign w:val="bottom"/>
            <w:tcBorders>
              <w:top w:val="single" w:sz="8" w:color="auto"/>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1,051</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5"/>
                <w:szCs w:val="15"/>
                <w:color w:val="auto"/>
              </w:rPr>
            </w:pPr>
          </w:p>
        </w:tc>
        <w:tc>
          <w:tcPr>
            <w:tcW w:w="8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gridSpan w:val="5"/>
            <w:shd w:val="clear" w:color="auto" w:fill="E9E9E9"/>
          </w:tcPr>
          <w:p>
            <w:pPr>
              <w:spacing w:after="0" w:line="169" w:lineRule="exact"/>
              <w:rPr>
                <w:sz w:val="20"/>
                <w:szCs w:val="20"/>
                <w:color w:val="auto"/>
              </w:rPr>
            </w:pPr>
            <w:r>
              <w:rPr>
                <w:rFonts w:ascii="Times New Roman" w:cs="Times New Roman" w:eastAsia="Times New Roman" w:hAnsi="Times New Roman"/>
                <w:sz w:val="16"/>
                <w:szCs w:val="16"/>
                <w:color w:val="auto"/>
              </w:rPr>
              <w:t>Equity in earnings of unconsolidated joint</w:t>
            </w:r>
          </w:p>
        </w:tc>
        <w:tc>
          <w:tcPr>
            <w:tcW w:w="140" w:type="dxa"/>
            <w:vAlign w:val="bottom"/>
            <w:tcBorders>
              <w:left w:val="single" w:sz="8" w:color="E9E9E9"/>
            </w:tcBorders>
            <w:shd w:val="clear" w:color="auto" w:fill="E9E9E9"/>
          </w:tcPr>
          <w:p>
            <w:pPr>
              <w:spacing w:after="0"/>
              <w:rPr>
                <w:sz w:val="14"/>
                <w:szCs w:val="14"/>
                <w:color w:val="auto"/>
              </w:rPr>
            </w:pPr>
          </w:p>
        </w:tc>
        <w:tc>
          <w:tcPr>
            <w:tcW w:w="880" w:type="dxa"/>
            <w:vAlign w:val="bottom"/>
            <w:tcBorders>
              <w:right w:val="single" w:sz="8" w:color="E9E9E9"/>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60" w:type="dxa"/>
            <w:vAlign w:val="bottom"/>
            <w:shd w:val="clear" w:color="auto" w:fill="E9E9E9"/>
          </w:tcPr>
          <w:p>
            <w:pPr>
              <w:spacing w:after="0"/>
              <w:rPr>
                <w:sz w:val="14"/>
                <w:szCs w:val="14"/>
                <w:color w:val="auto"/>
              </w:rPr>
            </w:pPr>
          </w:p>
        </w:tc>
        <w:tc>
          <w:tcPr>
            <w:tcW w:w="200" w:type="dxa"/>
            <w:vAlign w:val="bottom"/>
            <w:tcBorders>
              <w:left w:val="single" w:sz="8" w:color="E9E9E9"/>
            </w:tcBorders>
            <w:shd w:val="clear" w:color="auto" w:fill="E9E9E9"/>
          </w:tcPr>
          <w:p>
            <w:pPr>
              <w:spacing w:after="0"/>
              <w:rPr>
                <w:sz w:val="14"/>
                <w:szCs w:val="14"/>
                <w:color w:val="auto"/>
              </w:rPr>
            </w:pPr>
          </w:p>
        </w:tc>
        <w:tc>
          <w:tcPr>
            <w:tcW w:w="76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52,471</w:t>
            </w:r>
          </w:p>
        </w:tc>
        <w:tc>
          <w:tcPr>
            <w:tcW w:w="1040" w:type="dxa"/>
            <w:vAlign w:val="bottom"/>
            <w:gridSpan w:val="4"/>
            <w:vMerge w:val="restart"/>
            <w:shd w:val="clear" w:color="auto" w:fill="E9E9E9"/>
          </w:tcPr>
          <w:p>
            <w:pPr>
              <w:jc w:val="right"/>
              <w:ind w:right="60"/>
              <w:spacing w:after="0"/>
              <w:rPr>
                <w:sz w:val="20"/>
                <w:szCs w:val="20"/>
                <w:color w:val="auto"/>
              </w:rPr>
            </w:pPr>
            <w:r>
              <w:rPr>
                <w:rFonts w:ascii="Times New Roman" w:cs="Times New Roman" w:eastAsia="Times New Roman" w:hAnsi="Times New Roman"/>
                <w:sz w:val="16"/>
                <w:szCs w:val="16"/>
                <w:color w:val="auto"/>
              </w:rPr>
              <w:t>(42,117)</w:t>
            </w:r>
          </w:p>
        </w:tc>
        <w:tc>
          <w:tcPr>
            <w:tcW w:w="100" w:type="dxa"/>
            <w:vAlign w:val="bottom"/>
            <w:tcBorders>
              <w:left w:val="single" w:sz="8" w:color="E9E9E9"/>
              <w:right w:val="single" w:sz="8" w:color="E9E9E9"/>
            </w:tcBorders>
            <w:shd w:val="clear" w:color="auto" w:fill="E9E9E9"/>
          </w:tcPr>
          <w:p>
            <w:pPr>
              <w:spacing w:after="0"/>
              <w:rPr>
                <w:sz w:val="14"/>
                <w:szCs w:val="14"/>
                <w:color w:val="auto"/>
              </w:rPr>
            </w:pPr>
          </w:p>
        </w:tc>
        <w:tc>
          <w:tcPr>
            <w:tcW w:w="880" w:type="dxa"/>
            <w:vAlign w:val="bottom"/>
            <w:gridSpan w:val="2"/>
            <w:vMerge w:val="restart"/>
            <w:shd w:val="clear" w:color="auto" w:fill="E9E9E9"/>
          </w:tcPr>
          <w:p>
            <w:pPr>
              <w:jc w:val="right"/>
              <w:ind w:right="240"/>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Borders>
              <w:left w:val="single" w:sz="8" w:color="E9E9E9"/>
              <w:right w:val="single" w:sz="8" w:color="E9E9E9"/>
            </w:tcBorders>
            <w:shd w:val="clear" w:color="auto" w:fill="E9E9E9"/>
          </w:tcPr>
          <w:p>
            <w:pPr>
              <w:spacing w:after="0"/>
              <w:rPr>
                <w:sz w:val="14"/>
                <w:szCs w:val="14"/>
                <w:color w:val="auto"/>
              </w:rPr>
            </w:pPr>
          </w:p>
        </w:tc>
        <w:tc>
          <w:tcPr>
            <w:tcW w:w="8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E9E9E9"/>
          </w:tcPr>
          <w:p>
            <w:pPr>
              <w:spacing w:after="0"/>
              <w:rPr>
                <w:sz w:val="14"/>
                <w:szCs w:val="14"/>
                <w:color w:val="auto"/>
              </w:rPr>
            </w:pPr>
          </w:p>
        </w:tc>
        <w:tc>
          <w:tcPr>
            <w:tcW w:w="86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left w:val="single" w:sz="8" w:color="E9E9E9"/>
            </w:tcBorders>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060" w:type="dxa"/>
            <w:vAlign w:val="bottom"/>
            <w:gridSpan w:val="5"/>
            <w:shd w:val="clear" w:color="auto" w:fill="E9E9E9"/>
          </w:tcPr>
          <w:p>
            <w:pPr>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tcBorders>
              <w:left w:val="single" w:sz="8" w:color="E9E9E9"/>
            </w:tcBorders>
            <w:shd w:val="clear" w:color="auto" w:fill="E9E9E9"/>
          </w:tcPr>
          <w:p>
            <w:pPr>
              <w:spacing w:after="0"/>
              <w:rPr>
                <w:sz w:val="17"/>
                <w:szCs w:val="17"/>
                <w:color w:val="auto"/>
              </w:rPr>
            </w:pPr>
          </w:p>
        </w:tc>
        <w:tc>
          <w:tcPr>
            <w:tcW w:w="880" w:type="dxa"/>
            <w:vAlign w:val="bottom"/>
            <w:tcBorders>
              <w:right w:val="single" w:sz="8" w:color="E9E9E9"/>
            </w:tcBorders>
            <w:vMerge w:val="continue"/>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200" w:type="dxa"/>
            <w:vAlign w:val="bottom"/>
            <w:tcBorders>
              <w:left w:val="single" w:sz="8" w:color="E9E9E9"/>
            </w:tcBorders>
            <w:shd w:val="clear" w:color="auto" w:fill="E9E9E9"/>
          </w:tcPr>
          <w:p>
            <w:pPr>
              <w:spacing w:after="0"/>
              <w:rPr>
                <w:sz w:val="17"/>
                <w:szCs w:val="17"/>
                <w:color w:val="auto"/>
              </w:rPr>
            </w:pPr>
          </w:p>
        </w:tc>
        <w:tc>
          <w:tcPr>
            <w:tcW w:w="760" w:type="dxa"/>
            <w:vAlign w:val="bottom"/>
            <w:vMerge w:val="continue"/>
            <w:shd w:val="clear" w:color="auto" w:fill="E9E9E9"/>
          </w:tcPr>
          <w:p>
            <w:pPr>
              <w:spacing w:after="0"/>
              <w:rPr>
                <w:sz w:val="17"/>
                <w:szCs w:val="17"/>
                <w:color w:val="auto"/>
              </w:rPr>
            </w:pPr>
          </w:p>
        </w:tc>
        <w:tc>
          <w:tcPr>
            <w:tcW w:w="1040" w:type="dxa"/>
            <w:vAlign w:val="bottom"/>
            <w:gridSpan w:val="4"/>
            <w:vMerge w:val="continue"/>
            <w:shd w:val="clear" w:color="auto" w:fill="E9E9E9"/>
          </w:tcPr>
          <w:p>
            <w:pPr>
              <w:spacing w:after="0"/>
              <w:rPr>
                <w:sz w:val="17"/>
                <w:szCs w:val="17"/>
                <w:color w:val="auto"/>
              </w:rPr>
            </w:pPr>
          </w:p>
        </w:tc>
        <w:tc>
          <w:tcPr>
            <w:tcW w:w="100" w:type="dxa"/>
            <w:vAlign w:val="bottom"/>
            <w:tcBorders>
              <w:left w:val="single" w:sz="8" w:color="E9E9E9"/>
              <w:right w:val="single" w:sz="8" w:color="E9E9E9"/>
            </w:tcBorders>
            <w:shd w:val="clear" w:color="auto" w:fill="E9E9E9"/>
          </w:tcPr>
          <w:p>
            <w:pPr>
              <w:spacing w:after="0"/>
              <w:rPr>
                <w:sz w:val="17"/>
                <w:szCs w:val="17"/>
                <w:color w:val="auto"/>
              </w:rPr>
            </w:pPr>
          </w:p>
        </w:tc>
        <w:tc>
          <w:tcPr>
            <w:tcW w:w="880" w:type="dxa"/>
            <w:vAlign w:val="bottom"/>
            <w:gridSpan w:val="2"/>
            <w:vMerge w:val="continue"/>
            <w:shd w:val="clear" w:color="auto" w:fill="E9E9E9"/>
          </w:tcPr>
          <w:p>
            <w:pPr>
              <w:spacing w:after="0"/>
              <w:rPr>
                <w:sz w:val="17"/>
                <w:szCs w:val="17"/>
                <w:color w:val="auto"/>
              </w:rPr>
            </w:pPr>
          </w:p>
        </w:tc>
        <w:tc>
          <w:tcPr>
            <w:tcW w:w="60" w:type="dxa"/>
            <w:vAlign w:val="bottom"/>
            <w:tcBorders>
              <w:left w:val="single" w:sz="8" w:color="E9E9E9"/>
              <w:right w:val="single" w:sz="8" w:color="E9E9E9"/>
            </w:tcBorders>
            <w:shd w:val="clear" w:color="auto" w:fill="E9E9E9"/>
          </w:tcPr>
          <w:p>
            <w:pPr>
              <w:spacing w:after="0"/>
              <w:rPr>
                <w:sz w:val="17"/>
                <w:szCs w:val="17"/>
                <w:color w:val="auto"/>
              </w:rPr>
            </w:pPr>
          </w:p>
        </w:tc>
        <w:tc>
          <w:tcPr>
            <w:tcW w:w="800" w:type="dxa"/>
            <w:vAlign w:val="bottom"/>
            <w:vMerge w:val="continue"/>
            <w:shd w:val="clear" w:color="auto" w:fill="E9E9E9"/>
          </w:tcPr>
          <w:p>
            <w:pPr>
              <w:spacing w:after="0"/>
              <w:rPr>
                <w:sz w:val="17"/>
                <w:szCs w:val="17"/>
                <w:color w:val="auto"/>
              </w:rPr>
            </w:pPr>
          </w:p>
        </w:tc>
        <w:tc>
          <w:tcPr>
            <w:tcW w:w="280" w:type="dxa"/>
            <w:vAlign w:val="bottom"/>
            <w:shd w:val="clear" w:color="auto" w:fill="E9E9E9"/>
          </w:tcPr>
          <w:p>
            <w:pPr>
              <w:spacing w:after="0"/>
              <w:rPr>
                <w:sz w:val="17"/>
                <w:szCs w:val="17"/>
                <w:color w:val="auto"/>
              </w:rPr>
            </w:pPr>
          </w:p>
        </w:tc>
        <w:tc>
          <w:tcPr>
            <w:tcW w:w="860" w:type="dxa"/>
            <w:vAlign w:val="bottom"/>
            <w:vMerge w:val="continue"/>
            <w:shd w:val="clear" w:color="auto" w:fill="E9E9E9"/>
          </w:tcPr>
          <w:p>
            <w:pPr>
              <w:spacing w:after="0"/>
              <w:rPr>
                <w:sz w:val="17"/>
                <w:szCs w:val="17"/>
                <w:color w:val="auto"/>
              </w:rPr>
            </w:pPr>
          </w:p>
        </w:tc>
        <w:tc>
          <w:tcPr>
            <w:tcW w:w="140" w:type="dxa"/>
            <w:vAlign w:val="bottom"/>
            <w:tcBorders>
              <w:left w:val="single" w:sz="8" w:color="E9E9E9"/>
            </w:tcBorders>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Gain on sale of assets</w:t>
            </w: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31,834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3020" w:type="dxa"/>
            <w:vAlign w:val="bottom"/>
            <w:tcBorders>
              <w:top w:val="single" w:sz="8" w:color="E9E9E9"/>
            </w:tcBorders>
            <w:gridSpan w:val="3"/>
            <w:shd w:val="clear" w:color="auto" w:fill="E9E9E9"/>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Income from operations</w:t>
            </w:r>
          </w:p>
        </w:tc>
        <w:tc>
          <w:tcPr>
            <w:tcW w:w="40" w:type="dxa"/>
            <w:vAlign w:val="bottom"/>
            <w:tcBorders>
              <w:top w:val="single" w:sz="8" w:color="auto"/>
            </w:tcBorders>
            <w:gridSpan w:val="2"/>
            <w:shd w:val="clear" w:color="auto" w:fill="E9E9E9"/>
          </w:tcPr>
          <w:p>
            <w:pPr>
              <w:spacing w:after="0"/>
              <w:rPr>
                <w:sz w:val="15"/>
                <w:szCs w:val="15"/>
                <w:color w:val="auto"/>
              </w:rPr>
            </w:pPr>
          </w:p>
        </w:tc>
        <w:tc>
          <w:tcPr>
            <w:tcW w:w="140" w:type="dxa"/>
            <w:vAlign w:val="bottom"/>
            <w:tcBorders>
              <w:top w:val="single" w:sz="8" w:color="auto"/>
              <w:left w:val="single" w:sz="8" w:color="E9E9E9"/>
            </w:tcBorders>
            <w:shd w:val="clear" w:color="auto" w:fill="E9E9E9"/>
          </w:tcPr>
          <w:p>
            <w:pPr>
              <w:spacing w:after="0"/>
              <w:rPr>
                <w:sz w:val="15"/>
                <w:szCs w:val="15"/>
                <w:color w:val="auto"/>
              </w:rPr>
            </w:pPr>
          </w:p>
        </w:tc>
        <w:tc>
          <w:tcPr>
            <w:tcW w:w="880" w:type="dxa"/>
            <w:vAlign w:val="bottom"/>
            <w:tcBorders>
              <w:top w:val="single" w:sz="8" w:color="auto"/>
              <w:righ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435</w:t>
            </w:r>
          </w:p>
        </w:tc>
        <w:tc>
          <w:tcPr>
            <w:tcW w:w="160" w:type="dxa"/>
            <w:vAlign w:val="bottom"/>
            <w:tcBorders>
              <w:top w:val="single" w:sz="8" w:color="E9E9E9"/>
            </w:tcBorders>
            <w:shd w:val="clear" w:color="auto" w:fill="E9E9E9"/>
          </w:tcPr>
          <w:p>
            <w:pPr>
              <w:spacing w:after="0"/>
              <w:rPr>
                <w:sz w:val="15"/>
                <w:szCs w:val="15"/>
                <w:color w:val="auto"/>
              </w:rPr>
            </w:pPr>
          </w:p>
        </w:tc>
        <w:tc>
          <w:tcPr>
            <w:tcW w:w="200" w:type="dxa"/>
            <w:vAlign w:val="bottom"/>
            <w:tcBorders>
              <w:top w:val="single" w:sz="8" w:color="auto"/>
              <w:left w:val="single" w:sz="8" w:color="E9E9E9"/>
            </w:tcBorders>
            <w:shd w:val="clear" w:color="auto" w:fill="E9E9E9"/>
          </w:tcPr>
          <w:p>
            <w:pPr>
              <w:spacing w:after="0"/>
              <w:rPr>
                <w:sz w:val="15"/>
                <w:szCs w:val="15"/>
                <w:color w:val="auto"/>
              </w:rPr>
            </w:pPr>
          </w:p>
        </w:tc>
        <w:tc>
          <w:tcPr>
            <w:tcW w:w="760" w:type="dxa"/>
            <w:vAlign w:val="bottom"/>
            <w:tcBorders>
              <w:top w:val="single" w:sz="8" w:color="auto"/>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12,912</w:t>
            </w:r>
          </w:p>
        </w:tc>
        <w:tc>
          <w:tcPr>
            <w:tcW w:w="200" w:type="dxa"/>
            <w:vAlign w:val="bottom"/>
            <w:tcBorders>
              <w:top w:val="single" w:sz="8" w:color="E9E9E9"/>
            </w:tcBorders>
            <w:shd w:val="clear" w:color="auto" w:fill="E9E9E9"/>
          </w:tcPr>
          <w:p>
            <w:pPr>
              <w:spacing w:after="0"/>
              <w:rPr>
                <w:sz w:val="15"/>
                <w:szCs w:val="15"/>
                <w:color w:val="auto"/>
              </w:rPr>
            </w:pPr>
          </w:p>
        </w:tc>
        <w:tc>
          <w:tcPr>
            <w:tcW w:w="80" w:type="dxa"/>
            <w:vAlign w:val="bottom"/>
            <w:tcBorders>
              <w:top w:val="single" w:sz="8" w:color="auto"/>
              <w:left w:val="single" w:sz="8" w:color="E9E9E9"/>
            </w:tcBorders>
            <w:shd w:val="clear" w:color="auto" w:fill="E9E9E9"/>
          </w:tcPr>
          <w:p>
            <w:pPr>
              <w:spacing w:after="0"/>
              <w:rPr>
                <w:sz w:val="15"/>
                <w:szCs w:val="15"/>
                <w:color w:val="auto"/>
              </w:rPr>
            </w:pPr>
          </w:p>
        </w:tc>
        <w:tc>
          <w:tcPr>
            <w:tcW w:w="560" w:type="dxa"/>
            <w:vAlign w:val="bottom"/>
            <w:tcBorders>
              <w:top w:val="single" w:sz="8" w:color="auto"/>
              <w:lef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w w:val="98"/>
              </w:rPr>
              <w:t>(12,477)</w:t>
            </w:r>
          </w:p>
        </w:tc>
        <w:tc>
          <w:tcPr>
            <w:tcW w:w="200" w:type="dxa"/>
            <w:vAlign w:val="bottom"/>
            <w:tcBorders>
              <w:top w:val="single" w:sz="8" w:color="E9E9E9"/>
            </w:tcBorders>
            <w:shd w:val="clear" w:color="auto" w:fill="E9E9E9"/>
          </w:tcPr>
          <w:p>
            <w:pPr>
              <w:spacing w:after="0"/>
              <w:rPr>
                <w:sz w:val="15"/>
                <w:szCs w:val="15"/>
                <w:color w:val="auto"/>
              </w:rPr>
            </w:pPr>
          </w:p>
        </w:tc>
        <w:tc>
          <w:tcPr>
            <w:tcW w:w="100" w:type="dxa"/>
            <w:vAlign w:val="bottom"/>
            <w:tcBorders>
              <w:top w:val="single" w:sz="8" w:color="auto"/>
              <w:left w:val="single" w:sz="8" w:color="E9E9E9"/>
              <w:right w:val="single" w:sz="8" w:color="E9E9E9"/>
            </w:tcBorders>
            <w:shd w:val="clear" w:color="auto" w:fill="E9E9E9"/>
          </w:tcPr>
          <w:p>
            <w:pPr>
              <w:spacing w:after="0"/>
              <w:rPr>
                <w:sz w:val="15"/>
                <w:szCs w:val="15"/>
                <w:color w:val="auto"/>
              </w:rPr>
            </w:pPr>
          </w:p>
        </w:tc>
        <w:tc>
          <w:tcPr>
            <w:tcW w:w="500" w:type="dxa"/>
            <w:vAlign w:val="bottom"/>
            <w:tcBorders>
              <w:top w:val="single" w:sz="8" w:color="auto"/>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(97)</w:t>
            </w:r>
          </w:p>
        </w:tc>
        <w:tc>
          <w:tcPr>
            <w:tcW w:w="380" w:type="dxa"/>
            <w:vAlign w:val="bottom"/>
            <w:tcBorders>
              <w:top w:val="single" w:sz="8" w:color="E9E9E9"/>
            </w:tcBorders>
            <w:shd w:val="clear" w:color="auto" w:fill="E9E9E9"/>
          </w:tcPr>
          <w:p>
            <w:pPr>
              <w:spacing w:after="0"/>
              <w:rPr>
                <w:sz w:val="15"/>
                <w:szCs w:val="15"/>
                <w:color w:val="auto"/>
              </w:rPr>
            </w:pPr>
          </w:p>
        </w:tc>
        <w:tc>
          <w:tcPr>
            <w:tcW w:w="60" w:type="dxa"/>
            <w:vAlign w:val="bottom"/>
            <w:tcBorders>
              <w:top w:val="single" w:sz="8" w:color="E9E9E9"/>
              <w:left w:val="single" w:sz="8" w:color="E9E9E9"/>
              <w:right w:val="single" w:sz="8" w:color="E9E9E9"/>
            </w:tcBorders>
            <w:shd w:val="clear" w:color="auto" w:fill="E9E9E9"/>
          </w:tcPr>
          <w:p>
            <w:pPr>
              <w:spacing w:after="0"/>
              <w:rPr>
                <w:sz w:val="15"/>
                <w:szCs w:val="15"/>
                <w:color w:val="auto"/>
              </w:rPr>
            </w:pPr>
          </w:p>
        </w:tc>
        <w:tc>
          <w:tcPr>
            <w:tcW w:w="800" w:type="dxa"/>
            <w:vAlign w:val="bottom"/>
            <w:tcBorders>
              <w:top w:val="single" w:sz="8" w:color="auto"/>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top w:val="single" w:sz="8" w:color="E9E9E9"/>
            </w:tcBorders>
            <w:shd w:val="clear" w:color="auto" w:fill="E9E9E9"/>
          </w:tcPr>
          <w:p>
            <w:pPr>
              <w:spacing w:after="0"/>
              <w:rPr>
                <w:sz w:val="15"/>
                <w:szCs w:val="15"/>
                <w:color w:val="auto"/>
              </w:rPr>
            </w:pPr>
          </w:p>
        </w:tc>
        <w:tc>
          <w:tcPr>
            <w:tcW w:w="860" w:type="dxa"/>
            <w:vAlign w:val="bottom"/>
            <w:tcBorders>
              <w:top w:val="single" w:sz="8" w:color="auto"/>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top w:val="single" w:sz="8" w:color="E9E9E9"/>
              <w:left w:val="single" w:sz="8" w:color="E9E9E9"/>
            </w:tcBorders>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Borders>
              <w:bottom w:val="single" w:sz="8" w:color="E9E9E9"/>
            </w:tcBorders>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60" w:type="dxa"/>
            <w:vAlign w:val="bottom"/>
            <w:tcBorders>
              <w:bottom w:val="single" w:sz="8" w:color="auto"/>
            </w:tcBorders>
            <w:gridSpan w:val="3"/>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160" w:type="dxa"/>
            <w:vAlign w:val="bottom"/>
            <w:tcBorders>
              <w:bottom w:val="single" w:sz="8" w:color="E9E9E9"/>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200" w:type="dxa"/>
            <w:vAlign w:val="bottom"/>
            <w:tcBorders>
              <w:bottom w:val="single" w:sz="8" w:color="E9E9E9"/>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200" w:type="dxa"/>
            <w:vAlign w:val="bottom"/>
            <w:tcBorders>
              <w:bottom w:val="single" w:sz="8" w:color="E9E9E9"/>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Borders>
              <w:bottom w:val="single" w:sz="8" w:color="E9E9E9"/>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E9E9E9"/>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0" w:type="dxa"/>
            <w:vAlign w:val="bottom"/>
            <w:gridSpan w:val="2"/>
            <w:shd w:val="clear" w:color="auto" w:fill="E9E9E9"/>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Net (loss) income before income tax</w:t>
            </w:r>
          </w:p>
        </w:tc>
        <w:tc>
          <w:tcPr>
            <w:tcW w:w="60" w:type="dxa"/>
            <w:vAlign w:val="bottom"/>
            <w:gridSpan w:val="3"/>
            <w:shd w:val="clear" w:color="auto" w:fill="E9E9E9"/>
          </w:tcPr>
          <w:p>
            <w:pPr>
              <w:spacing w:after="0"/>
              <w:rPr>
                <w:sz w:val="15"/>
                <w:szCs w:val="15"/>
                <w:color w:val="auto"/>
              </w:rPr>
            </w:pPr>
          </w:p>
        </w:tc>
        <w:tc>
          <w:tcPr>
            <w:tcW w:w="140" w:type="dxa"/>
            <w:vAlign w:val="bottom"/>
            <w:tcBorders>
              <w:left w:val="single" w:sz="8" w:color="E9E9E9"/>
            </w:tcBorders>
            <w:shd w:val="clear" w:color="auto" w:fill="E9E9E9"/>
          </w:tcPr>
          <w:p>
            <w:pPr>
              <w:spacing w:after="0"/>
              <w:rPr>
                <w:sz w:val="15"/>
                <w:szCs w:val="15"/>
                <w:color w:val="auto"/>
              </w:rPr>
            </w:pPr>
          </w:p>
        </w:tc>
        <w:tc>
          <w:tcPr>
            <w:tcW w:w="880" w:type="dxa"/>
            <w:vAlign w:val="bottom"/>
            <w:tcBorders>
              <w:righ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(2,286)</w:t>
            </w:r>
          </w:p>
        </w:tc>
        <w:tc>
          <w:tcPr>
            <w:tcW w:w="160" w:type="dxa"/>
            <w:vAlign w:val="bottom"/>
            <w:shd w:val="clear" w:color="auto" w:fill="E9E9E9"/>
          </w:tcPr>
          <w:p>
            <w:pPr>
              <w:spacing w:after="0"/>
              <w:rPr>
                <w:sz w:val="15"/>
                <w:szCs w:val="15"/>
                <w:color w:val="auto"/>
              </w:rPr>
            </w:pPr>
          </w:p>
        </w:tc>
        <w:tc>
          <w:tcPr>
            <w:tcW w:w="200" w:type="dxa"/>
            <w:vAlign w:val="bottom"/>
            <w:tcBorders>
              <w:left w:val="single" w:sz="8" w:color="E9E9E9"/>
            </w:tcBorders>
            <w:shd w:val="clear" w:color="auto" w:fill="E9E9E9"/>
          </w:tcPr>
          <w:p>
            <w:pPr>
              <w:spacing w:after="0"/>
              <w:rPr>
                <w:sz w:val="15"/>
                <w:szCs w:val="15"/>
                <w:color w:val="auto"/>
              </w:rPr>
            </w:pPr>
          </w:p>
        </w:tc>
        <w:tc>
          <w:tcPr>
            <w:tcW w:w="76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4,181</w:t>
            </w:r>
          </w:p>
        </w:tc>
        <w:tc>
          <w:tcPr>
            <w:tcW w:w="200" w:type="dxa"/>
            <w:vAlign w:val="bottom"/>
            <w:shd w:val="clear" w:color="auto" w:fill="E9E9E9"/>
          </w:tcPr>
          <w:p>
            <w:pPr>
              <w:spacing w:after="0"/>
              <w:rPr>
                <w:sz w:val="15"/>
                <w:szCs w:val="15"/>
                <w:color w:val="auto"/>
              </w:rPr>
            </w:pPr>
          </w:p>
        </w:tc>
        <w:tc>
          <w:tcPr>
            <w:tcW w:w="80" w:type="dxa"/>
            <w:vAlign w:val="bottom"/>
            <w:tcBorders>
              <w:left w:val="single" w:sz="8" w:color="E9E9E9"/>
            </w:tcBorders>
            <w:shd w:val="clear" w:color="auto" w:fill="E9E9E9"/>
          </w:tcPr>
          <w:p>
            <w:pPr>
              <w:spacing w:after="0"/>
              <w:rPr>
                <w:sz w:val="15"/>
                <w:szCs w:val="15"/>
                <w:color w:val="auto"/>
              </w:rPr>
            </w:pPr>
          </w:p>
        </w:tc>
        <w:tc>
          <w:tcPr>
            <w:tcW w:w="560" w:type="dxa"/>
            <w:vAlign w:val="bottom"/>
            <w:tcBorders>
              <w:lef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(6,467)</w:t>
            </w:r>
          </w:p>
        </w:tc>
        <w:tc>
          <w:tcPr>
            <w:tcW w:w="200" w:type="dxa"/>
            <w:vAlign w:val="bottom"/>
            <w:shd w:val="clear" w:color="auto" w:fill="E9E9E9"/>
          </w:tcPr>
          <w:p>
            <w:pPr>
              <w:spacing w:after="0"/>
              <w:rPr>
                <w:sz w:val="15"/>
                <w:szCs w:val="15"/>
                <w:color w:val="auto"/>
              </w:rPr>
            </w:pPr>
          </w:p>
        </w:tc>
        <w:tc>
          <w:tcPr>
            <w:tcW w:w="100" w:type="dxa"/>
            <w:vAlign w:val="bottom"/>
            <w:tcBorders>
              <w:left w:val="single" w:sz="8" w:color="E9E9E9"/>
              <w:right w:val="single" w:sz="8" w:color="E9E9E9"/>
            </w:tcBorders>
            <w:shd w:val="clear" w:color="auto" w:fill="E9E9E9"/>
          </w:tcPr>
          <w:p>
            <w:pPr>
              <w:spacing w:after="0"/>
              <w:rPr>
                <w:sz w:val="15"/>
                <w:szCs w:val="15"/>
                <w:color w:val="auto"/>
              </w:rPr>
            </w:pPr>
          </w:p>
        </w:tc>
        <w:tc>
          <w:tcPr>
            <w:tcW w:w="50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(155)</w:t>
            </w:r>
          </w:p>
        </w:tc>
        <w:tc>
          <w:tcPr>
            <w:tcW w:w="380" w:type="dxa"/>
            <w:vAlign w:val="bottom"/>
            <w:shd w:val="clear" w:color="auto" w:fill="E9E9E9"/>
          </w:tcPr>
          <w:p>
            <w:pPr>
              <w:spacing w:after="0"/>
              <w:rPr>
                <w:sz w:val="15"/>
                <w:szCs w:val="15"/>
                <w:color w:val="auto"/>
              </w:rPr>
            </w:pPr>
          </w:p>
        </w:tc>
        <w:tc>
          <w:tcPr>
            <w:tcW w:w="60" w:type="dxa"/>
            <w:vAlign w:val="bottom"/>
            <w:tcBorders>
              <w:left w:val="single" w:sz="8" w:color="E9E9E9"/>
              <w:right w:val="single" w:sz="8" w:color="E9E9E9"/>
            </w:tcBorders>
            <w:shd w:val="clear" w:color="auto" w:fill="E9E9E9"/>
          </w:tcPr>
          <w:p>
            <w:pPr>
              <w:spacing w:after="0"/>
              <w:rPr>
                <w:sz w:val="15"/>
                <w:szCs w:val="15"/>
                <w:color w:val="auto"/>
              </w:rPr>
            </w:pPr>
          </w:p>
        </w:tc>
        <w:tc>
          <w:tcPr>
            <w:tcW w:w="1080" w:type="dxa"/>
            <w:vAlign w:val="bottom"/>
            <w:gridSpan w:val="2"/>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rPr>
              <w:t>(0)</w:t>
            </w:r>
          </w:p>
        </w:tc>
        <w:tc>
          <w:tcPr>
            <w:tcW w:w="86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left w:val="single" w:sz="8" w:color="E9E9E9"/>
            </w:tcBorders>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E9E9E9"/>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8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E9E9E9"/>
            </w:tcBorders>
            <w:shd w:val="clear" w:color="auto" w:fill="000000"/>
          </w:tcPr>
          <w:p>
            <w:pPr>
              <w:spacing w:after="0" w:line="20" w:lineRule="exact"/>
              <w:rPr>
                <w:sz w:val="1"/>
                <w:szCs w:val="1"/>
                <w:color w:val="auto"/>
              </w:rPr>
            </w:pPr>
          </w:p>
        </w:tc>
        <w:tc>
          <w:tcPr>
            <w:tcW w:w="160" w:type="dxa"/>
            <w:vAlign w:val="bottom"/>
            <w:vMerge w:val="restart"/>
            <w:shd w:val="clear" w:color="auto" w:fill="E9E9E9"/>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9E9E9"/>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E9E9E9"/>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E9E9E9"/>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980" w:type="dxa"/>
            <w:vAlign w:val="bottom"/>
            <w:vMerge w:val="continue"/>
            <w:shd w:val="clear" w:color="auto" w:fill="E9E9E9"/>
          </w:tcPr>
          <w:p>
            <w:pPr>
              <w:spacing w:after="0"/>
              <w:rPr>
                <w:sz w:val="15"/>
                <w:szCs w:val="15"/>
                <w:color w:val="auto"/>
              </w:rPr>
            </w:pPr>
          </w:p>
        </w:tc>
        <w:tc>
          <w:tcPr>
            <w:tcW w:w="80" w:type="dxa"/>
            <w:vAlign w:val="bottom"/>
            <w:gridSpan w:val="4"/>
            <w:shd w:val="clear" w:color="auto" w:fill="E9E9E9"/>
          </w:tcPr>
          <w:p>
            <w:pPr>
              <w:spacing w:after="0"/>
              <w:rPr>
                <w:sz w:val="15"/>
                <w:szCs w:val="15"/>
                <w:color w:val="auto"/>
              </w:rPr>
            </w:pPr>
          </w:p>
        </w:tc>
        <w:tc>
          <w:tcPr>
            <w:tcW w:w="140" w:type="dxa"/>
            <w:vAlign w:val="bottom"/>
            <w:tcBorders>
              <w:left w:val="single" w:sz="8" w:color="E9E9E9"/>
            </w:tcBorders>
            <w:shd w:val="clear" w:color="auto" w:fill="E9E9E9"/>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righ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(2,286)</w:t>
            </w:r>
          </w:p>
        </w:tc>
        <w:tc>
          <w:tcPr>
            <w:tcW w:w="160" w:type="dxa"/>
            <w:vAlign w:val="bottom"/>
            <w:vMerge w:val="continue"/>
            <w:shd w:val="clear" w:color="auto" w:fill="E9E9E9"/>
          </w:tcPr>
          <w:p>
            <w:pPr>
              <w:spacing w:after="0"/>
              <w:rPr>
                <w:sz w:val="15"/>
                <w:szCs w:val="15"/>
                <w:color w:val="auto"/>
              </w:rPr>
            </w:pPr>
          </w:p>
        </w:tc>
        <w:tc>
          <w:tcPr>
            <w:tcW w:w="200" w:type="dxa"/>
            <w:vAlign w:val="bottom"/>
            <w:tcBorders>
              <w:left w:val="single" w:sz="8" w:color="E9E9E9"/>
            </w:tcBorders>
            <w:shd w:val="clear" w:color="auto" w:fill="E9E9E9"/>
          </w:tcPr>
          <w:p>
            <w:pPr>
              <w:spacing w:after="0" w:line="174"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2,907</w:t>
            </w:r>
          </w:p>
        </w:tc>
        <w:tc>
          <w:tcPr>
            <w:tcW w:w="200" w:type="dxa"/>
            <w:vAlign w:val="bottom"/>
            <w:vMerge w:val="continue"/>
            <w:shd w:val="clear" w:color="auto" w:fill="E9E9E9"/>
          </w:tcPr>
          <w:p>
            <w:pPr>
              <w:spacing w:after="0"/>
              <w:rPr>
                <w:sz w:val="15"/>
                <w:szCs w:val="15"/>
                <w:color w:val="auto"/>
              </w:rPr>
            </w:pPr>
          </w:p>
        </w:tc>
        <w:tc>
          <w:tcPr>
            <w:tcW w:w="80" w:type="dxa"/>
            <w:vAlign w:val="bottom"/>
            <w:tcBorders>
              <w:left w:val="single" w:sz="8" w:color="E9E9E9"/>
            </w:tcBorders>
            <w:shd w:val="clear" w:color="auto" w:fill="E9E9E9"/>
          </w:tcPr>
          <w:p>
            <w:pPr>
              <w:spacing w:after="0"/>
              <w:rPr>
                <w:sz w:val="15"/>
                <w:szCs w:val="15"/>
                <w:color w:val="auto"/>
              </w:rPr>
            </w:pPr>
          </w:p>
        </w:tc>
        <w:tc>
          <w:tcPr>
            <w:tcW w:w="560" w:type="dxa"/>
            <w:vAlign w:val="bottom"/>
            <w:tcBorders>
              <w:left w:val="single" w:sz="8" w:color="E9E9E9"/>
            </w:tcBorders>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w w:val="94"/>
              </w:rPr>
              <w:t>$  (5,193</w:t>
            </w:r>
          </w:p>
        </w:tc>
        <w:tc>
          <w:tcPr>
            <w:tcW w:w="200" w:type="dxa"/>
            <w:vAlign w:val="bottom"/>
            <w:vMerge w:val="continue"/>
            <w:shd w:val="clear" w:color="auto" w:fill="E9E9E9"/>
          </w:tcPr>
          <w:p>
            <w:pPr>
              <w:spacing w:after="0"/>
              <w:rPr>
                <w:sz w:val="15"/>
                <w:szCs w:val="15"/>
                <w:color w:val="auto"/>
              </w:rPr>
            </w:pPr>
          </w:p>
        </w:tc>
        <w:tc>
          <w:tcPr>
            <w:tcW w:w="100" w:type="dxa"/>
            <w:vAlign w:val="bottom"/>
            <w:tcBorders>
              <w:left w:val="single" w:sz="8" w:color="E9E9E9"/>
              <w:right w:val="single" w:sz="8" w:color="E9E9E9"/>
            </w:tcBorders>
            <w:shd w:val="clear" w:color="auto" w:fill="E9E9E9"/>
          </w:tcPr>
          <w:p>
            <w:pPr>
              <w:spacing w:after="0"/>
              <w:rPr>
                <w:sz w:val="15"/>
                <w:szCs w:val="15"/>
                <w:color w:val="auto"/>
              </w:rPr>
            </w:pPr>
          </w:p>
        </w:tc>
        <w:tc>
          <w:tcPr>
            <w:tcW w:w="500" w:type="dxa"/>
            <w:vAlign w:val="bottom"/>
            <w:shd w:val="clear" w:color="auto" w:fill="E9E9E9"/>
          </w:tcPr>
          <w:p>
            <w:pPr>
              <w:jc w:val="right"/>
              <w:spacing w:after="0" w:line="174" w:lineRule="exact"/>
              <w:rPr>
                <w:sz w:val="20"/>
                <w:szCs w:val="20"/>
                <w:color w:val="auto"/>
              </w:rPr>
            </w:pPr>
            <w:r>
              <w:rPr>
                <w:rFonts w:ascii="Times New Roman" w:cs="Times New Roman" w:eastAsia="Times New Roman" w:hAnsi="Times New Roman"/>
                <w:sz w:val="16"/>
                <w:szCs w:val="16"/>
                <w:color w:val="auto"/>
              </w:rPr>
              <w:t>(179)</w:t>
            </w:r>
          </w:p>
        </w:tc>
        <w:tc>
          <w:tcPr>
            <w:tcW w:w="380" w:type="dxa"/>
            <w:vAlign w:val="bottom"/>
            <w:vMerge w:val="continue"/>
            <w:shd w:val="clear" w:color="auto" w:fill="E9E9E9"/>
          </w:tcPr>
          <w:p>
            <w:pPr>
              <w:spacing w:after="0"/>
              <w:rPr>
                <w:sz w:val="15"/>
                <w:szCs w:val="15"/>
                <w:color w:val="auto"/>
              </w:rPr>
            </w:pPr>
          </w:p>
        </w:tc>
        <w:tc>
          <w:tcPr>
            <w:tcW w:w="60" w:type="dxa"/>
            <w:vAlign w:val="bottom"/>
            <w:tcBorders>
              <w:left w:val="single" w:sz="8" w:color="E9E9E9"/>
              <w:right w:val="single" w:sz="8" w:color="E9E9E9"/>
            </w:tcBorders>
            <w:shd w:val="clear" w:color="auto" w:fill="E9E9E9"/>
          </w:tcPr>
          <w:p>
            <w:pPr>
              <w:spacing w:after="0"/>
              <w:rPr>
                <w:sz w:val="15"/>
                <w:szCs w:val="15"/>
                <w:color w:val="auto"/>
              </w:rPr>
            </w:pPr>
          </w:p>
        </w:tc>
        <w:tc>
          <w:tcPr>
            <w:tcW w:w="108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3959225</wp:posOffset>
                </wp:positionH>
                <wp:positionV relativeFrom="paragraph">
                  <wp:posOffset>-1695450</wp:posOffset>
                </wp:positionV>
                <wp:extent cx="386080" cy="1168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6080" cy="116840"/>
                        </a:xfrm>
                        <a:prstGeom prst="rect">
                          <a:avLst/>
                        </a:prstGeom>
                        <a:solidFill>
                          <a:srgbClr val="E9E9E9"/>
                        </a:solidFill>
                      </wps:spPr>
                      <wps:bodyPr/>
                    </wps:wsp>
                  </a:graphicData>
                </a:graphic>
              </wp:anchor>
            </w:drawing>
          </mc:Choice>
          <mc:Fallback>
            <w:pict>
              <v:rect id="Shape 18" o:spid="_x0000_s1043" style="position:absolute;margin-left:311.75pt;margin-top:-133.4999pt;width:30.4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4345305</wp:posOffset>
                </wp:positionH>
                <wp:positionV relativeFrom="paragraph">
                  <wp:posOffset>-1701800</wp:posOffset>
                </wp:positionV>
                <wp:extent cx="238125" cy="12319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 cy="123190"/>
                        </a:xfrm>
                        <a:prstGeom prst="rect">
                          <a:avLst/>
                        </a:prstGeom>
                        <a:solidFill>
                          <a:srgbClr val="E9E9E9"/>
                        </a:solidFill>
                      </wps:spPr>
                      <wps:bodyPr/>
                    </wps:wsp>
                  </a:graphicData>
                </a:graphic>
              </wp:anchor>
            </w:drawing>
          </mc:Choice>
          <mc:Fallback>
            <w:pict>
              <v:rect id="Shape 19" o:spid="_x0000_s1044" style="position:absolute;margin-left:342.15pt;margin-top:-134pt;width:18.75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4583430</wp:posOffset>
                </wp:positionH>
                <wp:positionV relativeFrom="paragraph">
                  <wp:posOffset>-1695450</wp:posOffset>
                </wp:positionV>
                <wp:extent cx="546735" cy="11684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116840"/>
                        </a:xfrm>
                        <a:prstGeom prst="rect">
                          <a:avLst/>
                        </a:prstGeom>
                        <a:solidFill>
                          <a:srgbClr val="E9E9E9"/>
                        </a:solidFill>
                      </wps:spPr>
                      <wps:bodyPr/>
                    </wps:wsp>
                  </a:graphicData>
                </a:graphic>
              </wp:anchor>
            </w:drawing>
          </mc:Choice>
          <mc:Fallback>
            <w:pict>
              <v:rect id="Shape 20" o:spid="_x0000_s1045" style="position:absolute;margin-left:360.9pt;margin-top:-133.4999pt;width:43.0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5130165</wp:posOffset>
                </wp:positionH>
                <wp:positionV relativeFrom="paragraph">
                  <wp:posOffset>-1701800</wp:posOffset>
                </wp:positionV>
                <wp:extent cx="178435" cy="12319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23190"/>
                        </a:xfrm>
                        <a:prstGeom prst="rect">
                          <a:avLst/>
                        </a:prstGeom>
                        <a:solidFill>
                          <a:srgbClr val="E9E9E9"/>
                        </a:solidFill>
                      </wps:spPr>
                      <wps:bodyPr/>
                    </wps:wsp>
                  </a:graphicData>
                </a:graphic>
              </wp:anchor>
            </w:drawing>
          </mc:Choice>
          <mc:Fallback>
            <w:pict>
              <v:rect id="Shape 21" o:spid="_x0000_s1046" style="position:absolute;margin-left:403.95pt;margin-top:-134pt;width:14.05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-1695450</wp:posOffset>
                </wp:positionV>
                <wp:extent cx="546735" cy="1168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116840"/>
                        </a:xfrm>
                        <a:prstGeom prst="rect">
                          <a:avLst/>
                        </a:prstGeom>
                        <a:solidFill>
                          <a:srgbClr val="E9E9E9"/>
                        </a:solidFill>
                      </wps:spPr>
                      <wps:bodyPr/>
                    </wps:wsp>
                  </a:graphicData>
                </a:graphic>
              </wp:anchor>
            </w:drawing>
          </mc:Choice>
          <mc:Fallback>
            <w:pict>
              <v:rect id="Shape 22" o:spid="_x0000_s1047" style="position:absolute;margin-left:418pt;margin-top:-133.4999pt;width:43.0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3959225</wp:posOffset>
                </wp:positionH>
                <wp:positionV relativeFrom="paragraph">
                  <wp:posOffset>-1455420</wp:posOffset>
                </wp:positionV>
                <wp:extent cx="386080" cy="1168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6080" cy="116840"/>
                        </a:xfrm>
                        <a:prstGeom prst="rect">
                          <a:avLst/>
                        </a:prstGeom>
                        <a:solidFill>
                          <a:srgbClr val="E9E9E9"/>
                        </a:solidFill>
                      </wps:spPr>
                      <wps:bodyPr/>
                    </wps:wsp>
                  </a:graphicData>
                </a:graphic>
              </wp:anchor>
            </w:drawing>
          </mc:Choice>
          <mc:Fallback>
            <w:pict>
              <v:rect id="Shape 23" o:spid="_x0000_s1048" style="position:absolute;margin-left:311.75pt;margin-top:-114.5999pt;width:30.4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4345305</wp:posOffset>
                </wp:positionH>
                <wp:positionV relativeFrom="paragraph">
                  <wp:posOffset>-1461770</wp:posOffset>
                </wp:positionV>
                <wp:extent cx="238125" cy="12319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 cy="123190"/>
                        </a:xfrm>
                        <a:prstGeom prst="rect">
                          <a:avLst/>
                        </a:prstGeom>
                        <a:solidFill>
                          <a:srgbClr val="E9E9E9"/>
                        </a:solidFill>
                      </wps:spPr>
                      <wps:bodyPr/>
                    </wps:wsp>
                  </a:graphicData>
                </a:graphic>
              </wp:anchor>
            </w:drawing>
          </mc:Choice>
          <mc:Fallback>
            <w:pict>
              <v:rect id="Shape 24" o:spid="_x0000_s1049" style="position:absolute;margin-left:342.15pt;margin-top:-115.0999pt;width:18.75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4583430</wp:posOffset>
                </wp:positionH>
                <wp:positionV relativeFrom="paragraph">
                  <wp:posOffset>-384810</wp:posOffset>
                </wp:positionV>
                <wp:extent cx="546735" cy="1168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116840"/>
                        </a:xfrm>
                        <a:prstGeom prst="rect">
                          <a:avLst/>
                        </a:prstGeom>
                        <a:solidFill>
                          <a:srgbClr val="E9E9E9"/>
                        </a:solidFill>
                      </wps:spPr>
                      <wps:bodyPr/>
                    </wps:wsp>
                  </a:graphicData>
                </a:graphic>
              </wp:anchor>
            </w:drawing>
          </mc:Choice>
          <mc:Fallback>
            <w:pict>
              <v:rect id="Shape 25" o:spid="_x0000_s1050" style="position:absolute;margin-left:360.9pt;margin-top:-30.2999pt;width:43.0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5130165</wp:posOffset>
                </wp:positionH>
                <wp:positionV relativeFrom="paragraph">
                  <wp:posOffset>-391160</wp:posOffset>
                </wp:positionV>
                <wp:extent cx="178435" cy="12319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23190"/>
                        </a:xfrm>
                        <a:prstGeom prst="rect">
                          <a:avLst/>
                        </a:prstGeom>
                        <a:solidFill>
                          <a:srgbClr val="E9E9E9"/>
                        </a:solidFill>
                      </wps:spPr>
                      <wps:bodyPr/>
                    </wps:wsp>
                  </a:graphicData>
                </a:graphic>
              </wp:anchor>
            </w:drawing>
          </mc:Choice>
          <mc:Fallback>
            <w:pict>
              <v:rect id="Shape 26" o:spid="_x0000_s1051" style="position:absolute;margin-left:403.95pt;margin-top:-30.7999pt;width:14.05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4583430</wp:posOffset>
                </wp:positionH>
                <wp:positionV relativeFrom="paragraph">
                  <wp:posOffset>-144780</wp:posOffset>
                </wp:positionV>
                <wp:extent cx="546735" cy="11620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116205"/>
                        </a:xfrm>
                        <a:prstGeom prst="rect">
                          <a:avLst/>
                        </a:prstGeom>
                        <a:solidFill>
                          <a:srgbClr val="E9E9E9"/>
                        </a:solidFill>
                      </wps:spPr>
                      <wps:bodyPr/>
                    </wps:wsp>
                  </a:graphicData>
                </a:graphic>
              </wp:anchor>
            </w:drawing>
          </mc:Choice>
          <mc:Fallback>
            <w:pict>
              <v:rect id="Shape 27" o:spid="_x0000_s1052" style="position:absolute;margin-left:360.9pt;margin-top:-11.3999pt;width:43.0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5130165</wp:posOffset>
                </wp:positionH>
                <wp:positionV relativeFrom="paragraph">
                  <wp:posOffset>-151130</wp:posOffset>
                </wp:positionV>
                <wp:extent cx="178435" cy="12255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122555"/>
                        </a:xfrm>
                        <a:prstGeom prst="rect">
                          <a:avLst/>
                        </a:prstGeom>
                        <a:solidFill>
                          <a:srgbClr val="E9E9E9"/>
                        </a:solidFill>
                      </wps:spPr>
                      <wps:bodyPr/>
                    </wps:wsp>
                  </a:graphicData>
                </a:graphic>
              </wp:anchor>
            </w:drawing>
          </mc:Choice>
          <mc:Fallback>
            <w:pict>
              <v:rect id="Shape 28" o:spid="_x0000_s1053" style="position:absolute;margin-left:403.95pt;margin-top:-11.8999pt;width:14.0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-144780</wp:posOffset>
                </wp:positionV>
                <wp:extent cx="546735" cy="11620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116205"/>
                        </a:xfrm>
                        <a:prstGeom prst="rect">
                          <a:avLst/>
                        </a:prstGeom>
                        <a:solidFill>
                          <a:srgbClr val="E9E9E9"/>
                        </a:solidFill>
                      </wps:spPr>
                      <wps:bodyPr/>
                    </wps:wsp>
                  </a:graphicData>
                </a:graphic>
              </wp:anchor>
            </w:drawing>
          </mc:Choice>
          <mc:Fallback>
            <w:pict>
              <v:rect id="Shape 29" o:spid="_x0000_s1054" style="position:absolute;margin-left:418pt;margin-top:-11.3999pt;width:43.0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22" w:right="1440" w:bottom="175"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i w:val="1"/>
          <w:iCs w:val="1"/>
          <w:color w:val="auto"/>
        </w:rPr>
        <w:t>Revenue and gross margin</w:t>
      </w:r>
    </w:p>
    <w:p>
      <w:pPr>
        <w:spacing w:after="0" w:line="19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The following table sets forth selected revenue and gross margin data for the fiscal year ended December 29, 2023 compared to the fiscal year ended December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percentage data)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Shimmick Projects</w:t>
            </w:r>
          </w:p>
        </w:tc>
        <w:tc>
          <w:tcPr>
            <w:tcW w:w="14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Legacy Projects</w:t>
            </w:r>
          </w:p>
        </w:tc>
        <w:tc>
          <w:tcPr>
            <w:tcW w:w="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8"/>
              </w:rPr>
              <w:t>Consolidated Total</w:t>
            </w:r>
          </w:p>
        </w:tc>
      </w:tr>
      <w:tr>
        <w:trPr>
          <w:trHeight w:val="185"/>
        </w:trPr>
        <w:tc>
          <w:tcPr>
            <w:tcW w:w="3360" w:type="dxa"/>
            <w:vAlign w:val="bottom"/>
            <w:tcBorders>
              <w:top w:val="single" w:sz="8" w:color="auto"/>
            </w:tcBorders>
            <w:shd w:val="clear" w:color="auto" w:fill="E9E9E9"/>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Fiscal Year 2023</w:t>
            </w:r>
          </w:p>
        </w:tc>
        <w:tc>
          <w:tcPr>
            <w:tcW w:w="200" w:type="dxa"/>
            <w:vAlign w:val="bottom"/>
            <w:tcBorders>
              <w:top w:val="single" w:sz="8" w:color="E9E9E9"/>
            </w:tcBorders>
            <w:shd w:val="clear" w:color="auto" w:fill="E9E9E9"/>
          </w:tcPr>
          <w:p>
            <w:pPr>
              <w:spacing w:after="0"/>
              <w:rPr>
                <w:sz w:val="16"/>
                <w:szCs w:val="16"/>
                <w:color w:val="auto"/>
              </w:rPr>
            </w:pPr>
          </w:p>
        </w:tc>
        <w:tc>
          <w:tcPr>
            <w:tcW w:w="100" w:type="dxa"/>
            <w:vAlign w:val="bottom"/>
            <w:tcBorders>
              <w:top w:val="single" w:sz="8" w:color="auto"/>
            </w:tcBorders>
            <w:shd w:val="clear" w:color="auto" w:fill="E9E9E9"/>
          </w:tcPr>
          <w:p>
            <w:pPr>
              <w:spacing w:after="0"/>
              <w:rPr>
                <w:sz w:val="16"/>
                <w:szCs w:val="16"/>
                <w:color w:val="auto"/>
              </w:rPr>
            </w:pPr>
          </w:p>
        </w:tc>
        <w:tc>
          <w:tcPr>
            <w:tcW w:w="1520" w:type="dxa"/>
            <w:vAlign w:val="bottom"/>
            <w:tcBorders>
              <w:top w:val="single" w:sz="8" w:color="auto"/>
            </w:tcBorders>
            <w:shd w:val="clear" w:color="auto" w:fill="E9E9E9"/>
          </w:tcPr>
          <w:p>
            <w:pPr>
              <w:spacing w:after="0"/>
              <w:rPr>
                <w:sz w:val="16"/>
                <w:szCs w:val="16"/>
                <w:color w:val="auto"/>
              </w:rPr>
            </w:pPr>
          </w:p>
        </w:tc>
        <w:tc>
          <w:tcPr>
            <w:tcW w:w="400" w:type="dxa"/>
            <w:vAlign w:val="bottom"/>
            <w:tcBorders>
              <w:top w:val="single" w:sz="8" w:color="E9E9E9"/>
            </w:tcBorders>
            <w:shd w:val="clear" w:color="auto" w:fill="E9E9E9"/>
          </w:tcPr>
          <w:p>
            <w:pPr>
              <w:spacing w:after="0"/>
              <w:rPr>
                <w:sz w:val="16"/>
                <w:szCs w:val="16"/>
                <w:color w:val="auto"/>
              </w:rPr>
            </w:pPr>
          </w:p>
        </w:tc>
        <w:tc>
          <w:tcPr>
            <w:tcW w:w="140" w:type="dxa"/>
            <w:vAlign w:val="bottom"/>
            <w:tcBorders>
              <w:top w:val="single" w:sz="8" w:color="auto"/>
            </w:tcBorders>
            <w:shd w:val="clear" w:color="auto" w:fill="E9E9E9"/>
          </w:tcPr>
          <w:p>
            <w:pPr>
              <w:spacing w:after="0"/>
              <w:rPr>
                <w:sz w:val="16"/>
                <w:szCs w:val="16"/>
                <w:color w:val="auto"/>
              </w:rPr>
            </w:pPr>
          </w:p>
        </w:tc>
        <w:tc>
          <w:tcPr>
            <w:tcW w:w="1420" w:type="dxa"/>
            <w:vAlign w:val="bottom"/>
            <w:tcBorders>
              <w:top w:val="single" w:sz="8" w:color="auto"/>
            </w:tcBorders>
            <w:shd w:val="clear" w:color="auto" w:fill="E9E9E9"/>
          </w:tcPr>
          <w:p>
            <w:pPr>
              <w:spacing w:after="0"/>
              <w:rPr>
                <w:sz w:val="16"/>
                <w:szCs w:val="16"/>
                <w:color w:val="auto"/>
              </w:rPr>
            </w:pPr>
          </w:p>
        </w:tc>
        <w:tc>
          <w:tcPr>
            <w:tcW w:w="460" w:type="dxa"/>
            <w:vAlign w:val="bottom"/>
            <w:tcBorders>
              <w:top w:val="single" w:sz="8" w:color="E9E9E9"/>
            </w:tcBorders>
            <w:shd w:val="clear" w:color="auto" w:fill="E9E9E9"/>
          </w:tcPr>
          <w:p>
            <w:pPr>
              <w:spacing w:after="0"/>
              <w:rPr>
                <w:sz w:val="16"/>
                <w:szCs w:val="16"/>
                <w:color w:val="auto"/>
              </w:rPr>
            </w:pPr>
          </w:p>
        </w:tc>
        <w:tc>
          <w:tcPr>
            <w:tcW w:w="80" w:type="dxa"/>
            <w:vAlign w:val="bottom"/>
            <w:tcBorders>
              <w:top w:val="single" w:sz="8" w:color="auto"/>
            </w:tcBorders>
            <w:shd w:val="clear" w:color="auto" w:fill="E9E9E9"/>
          </w:tcPr>
          <w:p>
            <w:pPr>
              <w:spacing w:after="0"/>
              <w:rPr>
                <w:sz w:val="16"/>
                <w:szCs w:val="16"/>
                <w:color w:val="auto"/>
              </w:rPr>
            </w:pPr>
          </w:p>
        </w:tc>
        <w:tc>
          <w:tcPr>
            <w:tcW w:w="1480" w:type="dxa"/>
            <w:vAlign w:val="bottom"/>
            <w:tcBorders>
              <w:top w:val="single" w:sz="8" w:color="auto"/>
            </w:tcBorders>
            <w:shd w:val="clear" w:color="auto" w:fill="E9E9E9"/>
          </w:tcPr>
          <w:p>
            <w:pPr>
              <w:spacing w:after="0"/>
              <w:rPr>
                <w:sz w:val="16"/>
                <w:szCs w:val="16"/>
                <w:color w:val="auto"/>
              </w:rPr>
            </w:pPr>
          </w:p>
        </w:tc>
        <w:tc>
          <w:tcPr>
            <w:tcW w:w="200" w:type="dxa"/>
            <w:vAlign w:val="bottom"/>
            <w:tcBorders>
              <w:top w:val="single" w:sz="8" w:color="E9E9E9"/>
            </w:tcBorders>
            <w:shd w:val="clear" w:color="auto" w:fill="E9E9E9"/>
          </w:tcPr>
          <w:p>
            <w:pPr>
              <w:spacing w:after="0"/>
              <w:rPr>
                <w:sz w:val="16"/>
                <w:szCs w:val="16"/>
                <w:color w:val="auto"/>
              </w:rPr>
            </w:pPr>
          </w:p>
        </w:tc>
      </w:tr>
      <w:tr>
        <w:trPr>
          <w:trHeight w:val="19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434,297</w:t>
            </w: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198,509</w:t>
            </w:r>
          </w:p>
        </w:tc>
        <w:tc>
          <w:tcPr>
            <w:tcW w:w="4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632,806</w:t>
            </w:r>
          </w:p>
        </w:tc>
        <w:tc>
          <w:tcPr>
            <w:tcW w:w="200" w:type="dxa"/>
            <w:vAlign w:val="bottom"/>
          </w:tcPr>
          <w:p>
            <w:pPr>
              <w:spacing w:after="0"/>
              <w:rPr>
                <w:sz w:val="16"/>
                <w:szCs w:val="16"/>
                <w:color w:val="auto"/>
              </w:rPr>
            </w:pPr>
          </w:p>
        </w:tc>
      </w:tr>
      <w:tr>
        <w:trPr>
          <w:trHeight w:val="195"/>
        </w:trPr>
        <w:tc>
          <w:tcPr>
            <w:tcW w:w="3360" w:type="dxa"/>
            <w:vAlign w:val="bottom"/>
            <w:shd w:val="clear" w:color="auto" w:fill="E9E9E9"/>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20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29,023</w:t>
            </w:r>
          </w:p>
        </w:tc>
        <w:tc>
          <w:tcPr>
            <w:tcW w:w="400" w:type="dxa"/>
            <w:vAlign w:val="bottom"/>
            <w:shd w:val="clear" w:color="auto" w:fill="E9E9E9"/>
          </w:tcPr>
          <w:p>
            <w:pPr>
              <w:spacing w:after="0"/>
              <w:rPr>
                <w:sz w:val="16"/>
                <w:szCs w:val="16"/>
                <w:color w:val="auto"/>
              </w:rPr>
            </w:pPr>
          </w:p>
        </w:tc>
        <w:tc>
          <w:tcPr>
            <w:tcW w:w="140" w:type="dxa"/>
            <w:vAlign w:val="bottom"/>
            <w:shd w:val="clear" w:color="auto" w:fill="E9E9E9"/>
          </w:tcPr>
          <w:p>
            <w:pPr>
              <w:spacing w:after="0"/>
              <w:rPr>
                <w:sz w:val="16"/>
                <w:szCs w:val="16"/>
                <w:color w:val="auto"/>
              </w:rPr>
            </w:pPr>
          </w:p>
        </w:tc>
        <w:tc>
          <w:tcPr>
            <w:tcW w:w="1880" w:type="dxa"/>
            <w:vAlign w:val="bottom"/>
            <w:gridSpan w:val="2"/>
            <w:shd w:val="clear" w:color="auto" w:fill="E9E9E9"/>
          </w:tcPr>
          <w:p>
            <w:pPr>
              <w:jc w:val="right"/>
              <w:ind w:right="400"/>
              <w:spacing w:after="0"/>
              <w:rPr>
                <w:sz w:val="20"/>
                <w:szCs w:val="20"/>
                <w:color w:val="auto"/>
              </w:rPr>
            </w:pPr>
            <w:r>
              <w:rPr>
                <w:rFonts w:ascii="Times New Roman" w:cs="Times New Roman" w:eastAsia="Times New Roman" w:hAnsi="Times New Roman"/>
                <w:sz w:val="17"/>
                <w:szCs w:val="17"/>
                <w:color w:val="auto"/>
              </w:rPr>
              <w:t>(6,651)</w:t>
            </w:r>
          </w:p>
        </w:tc>
        <w:tc>
          <w:tcPr>
            <w:tcW w:w="80" w:type="dxa"/>
            <w:vAlign w:val="bottom"/>
            <w:shd w:val="clear" w:color="auto" w:fill="E9E9E9"/>
          </w:tcPr>
          <w:p>
            <w:pPr>
              <w:spacing w:after="0"/>
              <w:rPr>
                <w:sz w:val="16"/>
                <w:szCs w:val="16"/>
                <w:color w:val="auto"/>
              </w:rPr>
            </w:pP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22,372</w:t>
            </w:r>
          </w:p>
        </w:tc>
        <w:tc>
          <w:tcPr>
            <w:tcW w:w="200" w:type="dxa"/>
            <w:vAlign w:val="bottom"/>
            <w:shd w:val="clear" w:color="auto" w:fill="E9E9E9"/>
          </w:tcPr>
          <w:p>
            <w:pPr>
              <w:spacing w:after="0"/>
              <w:rPr>
                <w:sz w:val="16"/>
                <w:szCs w:val="16"/>
                <w:color w:val="auto"/>
              </w:rPr>
            </w:pPr>
          </w:p>
        </w:tc>
      </w:tr>
      <w:tr>
        <w:trPr>
          <w:trHeight w:val="19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Gross margin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6"/>
                <w:szCs w:val="16"/>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r>
      <w:tr>
        <w:trPr>
          <w:trHeight w:val="195"/>
        </w:trPr>
        <w:tc>
          <w:tcPr>
            <w:tcW w:w="3360" w:type="dxa"/>
            <w:vAlign w:val="bottom"/>
            <w:shd w:val="clear" w:color="auto" w:fill="E9E9E9"/>
          </w:tcPr>
          <w:p>
            <w:pPr>
              <w:spacing w:after="0"/>
              <w:rPr>
                <w:sz w:val="20"/>
                <w:szCs w:val="20"/>
                <w:color w:val="auto"/>
              </w:rPr>
            </w:pPr>
            <w:r>
              <w:rPr>
                <w:rFonts w:ascii="Times New Roman" w:cs="Times New Roman" w:eastAsia="Times New Roman" w:hAnsi="Times New Roman"/>
                <w:sz w:val="17"/>
                <w:szCs w:val="17"/>
                <w:b w:val="1"/>
                <w:bCs w:val="1"/>
                <w:color w:val="auto"/>
              </w:rPr>
              <w:t>Fiscal Year 2022</w:t>
            </w:r>
          </w:p>
        </w:tc>
        <w:tc>
          <w:tcPr>
            <w:tcW w:w="20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520" w:type="dxa"/>
            <w:vAlign w:val="bottom"/>
            <w:shd w:val="clear" w:color="auto" w:fill="E9E9E9"/>
          </w:tcPr>
          <w:p>
            <w:pPr>
              <w:spacing w:after="0"/>
              <w:rPr>
                <w:sz w:val="16"/>
                <w:szCs w:val="16"/>
                <w:color w:val="auto"/>
              </w:rPr>
            </w:pPr>
          </w:p>
        </w:tc>
        <w:tc>
          <w:tcPr>
            <w:tcW w:w="400" w:type="dxa"/>
            <w:vAlign w:val="bottom"/>
            <w:shd w:val="clear" w:color="auto" w:fill="E9E9E9"/>
          </w:tcPr>
          <w:p>
            <w:pPr>
              <w:spacing w:after="0"/>
              <w:rPr>
                <w:sz w:val="16"/>
                <w:szCs w:val="16"/>
                <w:color w:val="auto"/>
              </w:rPr>
            </w:pPr>
          </w:p>
        </w:tc>
        <w:tc>
          <w:tcPr>
            <w:tcW w:w="140" w:type="dxa"/>
            <w:vAlign w:val="bottom"/>
            <w:shd w:val="clear" w:color="auto" w:fill="E9E9E9"/>
          </w:tcPr>
          <w:p>
            <w:pPr>
              <w:spacing w:after="0"/>
              <w:rPr>
                <w:sz w:val="16"/>
                <w:szCs w:val="16"/>
                <w:color w:val="auto"/>
              </w:rPr>
            </w:pPr>
          </w:p>
        </w:tc>
        <w:tc>
          <w:tcPr>
            <w:tcW w:w="1420" w:type="dxa"/>
            <w:vAlign w:val="bottom"/>
            <w:shd w:val="clear" w:color="auto" w:fill="E9E9E9"/>
          </w:tcPr>
          <w:p>
            <w:pPr>
              <w:spacing w:after="0"/>
              <w:rPr>
                <w:sz w:val="16"/>
                <w:szCs w:val="16"/>
                <w:color w:val="auto"/>
              </w:rPr>
            </w:pPr>
          </w:p>
        </w:tc>
        <w:tc>
          <w:tcPr>
            <w:tcW w:w="46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1480" w:type="dxa"/>
            <w:vAlign w:val="bottom"/>
            <w:shd w:val="clear" w:color="auto" w:fill="E9E9E9"/>
          </w:tcPr>
          <w:p>
            <w:pPr>
              <w:spacing w:after="0"/>
              <w:rPr>
                <w:sz w:val="16"/>
                <w:szCs w:val="16"/>
                <w:color w:val="auto"/>
              </w:rPr>
            </w:pPr>
          </w:p>
        </w:tc>
        <w:tc>
          <w:tcPr>
            <w:tcW w:w="200" w:type="dxa"/>
            <w:vAlign w:val="bottom"/>
            <w:shd w:val="clear" w:color="auto" w:fill="E9E9E9"/>
          </w:tcPr>
          <w:p>
            <w:pPr>
              <w:spacing w:after="0"/>
              <w:rPr>
                <w:sz w:val="16"/>
                <w:szCs w:val="16"/>
                <w:color w:val="auto"/>
              </w:rPr>
            </w:pPr>
          </w:p>
        </w:tc>
      </w:tr>
      <w:tr>
        <w:trPr>
          <w:trHeight w:val="196"/>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350,667</w:t>
            </w:r>
          </w:p>
        </w:tc>
        <w:tc>
          <w:tcPr>
            <w:tcW w:w="4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313,491</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664,158</w:t>
            </w:r>
          </w:p>
        </w:tc>
        <w:tc>
          <w:tcPr>
            <w:tcW w:w="200" w:type="dxa"/>
            <w:vAlign w:val="bottom"/>
          </w:tcPr>
          <w:p>
            <w:pPr>
              <w:spacing w:after="0"/>
              <w:rPr>
                <w:sz w:val="17"/>
                <w:szCs w:val="17"/>
                <w:color w:val="auto"/>
              </w:rPr>
            </w:pPr>
          </w:p>
        </w:tc>
      </w:tr>
      <w:tr>
        <w:trPr>
          <w:trHeight w:val="195"/>
        </w:trPr>
        <w:tc>
          <w:tcPr>
            <w:tcW w:w="3360" w:type="dxa"/>
            <w:vAlign w:val="bottom"/>
            <w:shd w:val="clear" w:color="auto" w:fill="E9E9E9"/>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20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24,284</w:t>
            </w:r>
          </w:p>
        </w:tc>
        <w:tc>
          <w:tcPr>
            <w:tcW w:w="400" w:type="dxa"/>
            <w:vAlign w:val="bottom"/>
            <w:shd w:val="clear" w:color="auto" w:fill="E9E9E9"/>
          </w:tcPr>
          <w:p>
            <w:pPr>
              <w:spacing w:after="0"/>
              <w:rPr>
                <w:sz w:val="16"/>
                <w:szCs w:val="16"/>
                <w:color w:val="auto"/>
              </w:rPr>
            </w:pPr>
          </w:p>
        </w:tc>
        <w:tc>
          <w:tcPr>
            <w:tcW w:w="140" w:type="dxa"/>
            <w:vAlign w:val="bottom"/>
            <w:shd w:val="clear" w:color="auto" w:fill="E9E9E9"/>
          </w:tcPr>
          <w:p>
            <w:pPr>
              <w:spacing w:after="0"/>
              <w:rPr>
                <w:sz w:val="16"/>
                <w:szCs w:val="16"/>
                <w:color w:val="auto"/>
              </w:rPr>
            </w:pPr>
          </w:p>
        </w:tc>
        <w:tc>
          <w:tcPr>
            <w:tcW w:w="1880" w:type="dxa"/>
            <w:vAlign w:val="bottom"/>
            <w:gridSpan w:val="2"/>
            <w:shd w:val="clear" w:color="auto" w:fill="E9E9E9"/>
          </w:tcPr>
          <w:p>
            <w:pPr>
              <w:jc w:val="right"/>
              <w:ind w:right="400"/>
              <w:spacing w:after="0"/>
              <w:rPr>
                <w:sz w:val="20"/>
                <w:szCs w:val="20"/>
                <w:color w:val="auto"/>
              </w:rPr>
            </w:pPr>
            <w:r>
              <w:rPr>
                <w:rFonts w:ascii="Times New Roman" w:cs="Times New Roman" w:eastAsia="Times New Roman" w:hAnsi="Times New Roman"/>
                <w:sz w:val="17"/>
                <w:szCs w:val="17"/>
                <w:color w:val="auto"/>
              </w:rPr>
              <w:t>(769)</w:t>
            </w:r>
          </w:p>
        </w:tc>
        <w:tc>
          <w:tcPr>
            <w:tcW w:w="80" w:type="dxa"/>
            <w:vAlign w:val="bottom"/>
            <w:shd w:val="clear" w:color="auto" w:fill="E9E9E9"/>
          </w:tcPr>
          <w:p>
            <w:pPr>
              <w:spacing w:after="0"/>
              <w:rPr>
                <w:sz w:val="16"/>
                <w:szCs w:val="16"/>
                <w:color w:val="auto"/>
              </w:rPr>
            </w:pP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23,515</w:t>
            </w:r>
          </w:p>
        </w:tc>
        <w:tc>
          <w:tcPr>
            <w:tcW w:w="200" w:type="dxa"/>
            <w:vAlign w:val="bottom"/>
            <w:shd w:val="clear" w:color="auto" w:fill="E9E9E9"/>
          </w:tcPr>
          <w:p>
            <w:pPr>
              <w:spacing w:after="0"/>
              <w:rPr>
                <w:sz w:val="16"/>
                <w:szCs w:val="16"/>
                <w:color w:val="auto"/>
              </w:rPr>
            </w:pPr>
          </w:p>
        </w:tc>
      </w:tr>
      <w:tr>
        <w:trPr>
          <w:trHeight w:val="19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Gross margin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16"/>
                <w:szCs w:val="16"/>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r>
      <w:tr>
        <w:trPr>
          <w:trHeight w:val="175"/>
        </w:trPr>
        <w:tc>
          <w:tcPr>
            <w:tcW w:w="3360" w:type="dxa"/>
            <w:vAlign w:val="bottom"/>
            <w:shd w:val="clear" w:color="auto" w:fill="E9E9E9"/>
          </w:tcPr>
          <w:p>
            <w:pPr>
              <w:spacing w:after="0" w:line="175" w:lineRule="exact"/>
              <w:rPr>
                <w:sz w:val="20"/>
                <w:szCs w:val="20"/>
                <w:color w:val="auto"/>
              </w:rPr>
            </w:pPr>
            <w:r>
              <w:rPr>
                <w:rFonts w:ascii="Times New Roman" w:cs="Times New Roman" w:eastAsia="Times New Roman" w:hAnsi="Times New Roman"/>
                <w:sz w:val="17"/>
                <w:szCs w:val="17"/>
                <w:b w:val="1"/>
                <w:bCs w:val="1"/>
                <w:color w:val="auto"/>
              </w:rPr>
              <w:t>Variances Fiscal Year 2023 to Fiscal Year</w:t>
            </w:r>
          </w:p>
        </w:tc>
        <w:tc>
          <w:tcPr>
            <w:tcW w:w="20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1520" w:type="dxa"/>
            <w:vAlign w:val="bottom"/>
            <w:shd w:val="clear" w:color="auto" w:fill="E9E9E9"/>
          </w:tcPr>
          <w:p>
            <w:pPr>
              <w:spacing w:after="0"/>
              <w:rPr>
                <w:sz w:val="15"/>
                <w:szCs w:val="15"/>
                <w:color w:val="auto"/>
              </w:rPr>
            </w:pPr>
          </w:p>
        </w:tc>
        <w:tc>
          <w:tcPr>
            <w:tcW w:w="40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1420" w:type="dxa"/>
            <w:vAlign w:val="bottom"/>
            <w:shd w:val="clear" w:color="auto" w:fill="E9E9E9"/>
          </w:tcPr>
          <w:p>
            <w:pPr>
              <w:spacing w:after="0"/>
              <w:rPr>
                <w:sz w:val="15"/>
                <w:szCs w:val="15"/>
                <w:color w:val="auto"/>
              </w:rPr>
            </w:pPr>
          </w:p>
        </w:tc>
        <w:tc>
          <w:tcPr>
            <w:tcW w:w="460" w:type="dxa"/>
            <w:vAlign w:val="bottom"/>
            <w:shd w:val="clear" w:color="auto" w:fill="E9E9E9"/>
          </w:tcPr>
          <w:p>
            <w:pPr>
              <w:spacing w:after="0"/>
              <w:rPr>
                <w:sz w:val="15"/>
                <w:szCs w:val="15"/>
                <w:color w:val="auto"/>
              </w:rPr>
            </w:pPr>
          </w:p>
        </w:tc>
        <w:tc>
          <w:tcPr>
            <w:tcW w:w="80" w:type="dxa"/>
            <w:vAlign w:val="bottom"/>
            <w:shd w:val="clear" w:color="auto" w:fill="E9E9E9"/>
          </w:tcPr>
          <w:p>
            <w:pPr>
              <w:spacing w:after="0"/>
              <w:rPr>
                <w:sz w:val="15"/>
                <w:szCs w:val="15"/>
                <w:color w:val="auto"/>
              </w:rPr>
            </w:pPr>
          </w:p>
        </w:tc>
        <w:tc>
          <w:tcPr>
            <w:tcW w:w="1480" w:type="dxa"/>
            <w:vAlign w:val="bottom"/>
            <w:shd w:val="clear" w:color="auto" w:fill="E9E9E9"/>
          </w:tcPr>
          <w:p>
            <w:pPr>
              <w:spacing w:after="0"/>
              <w:rPr>
                <w:sz w:val="15"/>
                <w:szCs w:val="15"/>
                <w:color w:val="auto"/>
              </w:rPr>
            </w:pPr>
          </w:p>
        </w:tc>
        <w:tc>
          <w:tcPr>
            <w:tcW w:w="200" w:type="dxa"/>
            <w:vAlign w:val="bottom"/>
            <w:shd w:val="clear" w:color="auto" w:fill="E9E9E9"/>
          </w:tcPr>
          <w:p>
            <w:pPr>
              <w:spacing w:after="0"/>
              <w:rPr>
                <w:sz w:val="15"/>
                <w:szCs w:val="15"/>
                <w:color w:val="auto"/>
              </w:rPr>
            </w:pPr>
          </w:p>
        </w:tc>
      </w:tr>
      <w:tr>
        <w:trPr>
          <w:trHeight w:val="216"/>
        </w:trPr>
        <w:tc>
          <w:tcPr>
            <w:tcW w:w="3360" w:type="dxa"/>
            <w:vAlign w:val="bottom"/>
            <w:shd w:val="clear" w:color="auto" w:fill="E9E9E9"/>
          </w:tcPr>
          <w:p>
            <w:pPr>
              <w:spacing w:after="0"/>
              <w:rPr>
                <w:sz w:val="20"/>
                <w:szCs w:val="20"/>
                <w:color w:val="auto"/>
              </w:rPr>
            </w:pPr>
            <w:r>
              <w:rPr>
                <w:rFonts w:ascii="Times New Roman" w:cs="Times New Roman" w:eastAsia="Times New Roman" w:hAnsi="Times New Roman"/>
                <w:sz w:val="17"/>
                <w:szCs w:val="17"/>
                <w:b w:val="1"/>
                <w:bCs w:val="1"/>
                <w:color w:val="auto"/>
              </w:rPr>
              <w:t>2022 Increase (Decrease)</w:t>
            </w:r>
          </w:p>
        </w:tc>
        <w:tc>
          <w:tcPr>
            <w:tcW w:w="20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520" w:type="dxa"/>
            <w:vAlign w:val="bottom"/>
            <w:shd w:val="clear" w:color="auto" w:fill="E9E9E9"/>
          </w:tcPr>
          <w:p>
            <w:pPr>
              <w:spacing w:after="0"/>
              <w:rPr>
                <w:sz w:val="18"/>
                <w:szCs w:val="18"/>
                <w:color w:val="auto"/>
              </w:rPr>
            </w:pPr>
          </w:p>
        </w:tc>
        <w:tc>
          <w:tcPr>
            <w:tcW w:w="40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420" w:type="dxa"/>
            <w:vAlign w:val="bottom"/>
            <w:shd w:val="clear" w:color="auto" w:fill="E9E9E9"/>
          </w:tcPr>
          <w:p>
            <w:pPr>
              <w:spacing w:after="0"/>
              <w:rPr>
                <w:sz w:val="18"/>
                <w:szCs w:val="18"/>
                <w:color w:val="auto"/>
              </w:rPr>
            </w:pPr>
          </w:p>
        </w:tc>
        <w:tc>
          <w:tcPr>
            <w:tcW w:w="46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480" w:type="dxa"/>
            <w:vAlign w:val="bottom"/>
            <w:shd w:val="clear" w:color="auto" w:fill="E9E9E9"/>
          </w:tcPr>
          <w:p>
            <w:pPr>
              <w:spacing w:after="0"/>
              <w:rPr>
                <w:sz w:val="18"/>
                <w:szCs w:val="18"/>
                <w:color w:val="auto"/>
              </w:rPr>
            </w:pPr>
          </w:p>
        </w:tc>
        <w:tc>
          <w:tcPr>
            <w:tcW w:w="200" w:type="dxa"/>
            <w:vAlign w:val="bottom"/>
            <w:shd w:val="clear" w:color="auto" w:fill="E9E9E9"/>
          </w:tcPr>
          <w:p>
            <w:pPr>
              <w:spacing w:after="0"/>
              <w:rPr>
                <w:sz w:val="18"/>
                <w:szCs w:val="18"/>
                <w:color w:val="auto"/>
              </w:rPr>
            </w:pPr>
          </w:p>
        </w:tc>
      </w:tr>
      <w:tr>
        <w:trPr>
          <w:trHeight w:val="19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83,630</w:t>
            </w: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(114,982)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(31,352)</w:t>
            </w:r>
          </w:p>
        </w:tc>
      </w:tr>
      <w:tr>
        <w:trPr>
          <w:trHeight w:val="19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Revenue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(5,882)</w:t>
            </w:r>
          </w:p>
        </w:tc>
        <w:tc>
          <w:tcPr>
            <w:tcW w:w="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-764540</wp:posOffset>
                </wp:positionV>
                <wp:extent cx="3286760" cy="12382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6760" cy="123825"/>
                        </a:xfrm>
                        <a:prstGeom prst="rect">
                          <a:avLst/>
                        </a:prstGeom>
                        <a:solidFill>
                          <a:srgbClr val="FFFFFF"/>
                        </a:solidFill>
                      </wps:spPr>
                      <wps:bodyPr/>
                    </wps:wsp>
                  </a:graphicData>
                </a:graphic>
              </wp:anchor>
            </w:drawing>
          </mc:Choice>
          <mc:Fallback>
            <w:pict>
              <v:rect id="Shape 30" o:spid="_x0000_s1055" style="position:absolute;margin-left:0pt;margin-top:-60.1999pt;width:258.8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3286760</wp:posOffset>
                </wp:positionH>
                <wp:positionV relativeFrom="paragraph">
                  <wp:posOffset>-764540</wp:posOffset>
                </wp:positionV>
                <wp:extent cx="2656840" cy="12382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6840" cy="123825"/>
                        </a:xfrm>
                        <a:prstGeom prst="rect">
                          <a:avLst/>
                        </a:prstGeom>
                        <a:solidFill>
                          <a:srgbClr val="FFFFFF"/>
                        </a:solidFill>
                      </wps:spPr>
                      <wps:bodyPr/>
                    </wps:wsp>
                  </a:graphicData>
                </a:graphic>
              </wp:anchor>
            </w:drawing>
          </mc:Choice>
          <mc:Fallback>
            <w:pict>
              <v:rect id="Shape 31" o:spid="_x0000_s1056" style="position:absolute;margin-left:258.8pt;margin-top:-60.1999pt;width:209.2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-267970</wp:posOffset>
                </wp:positionV>
                <wp:extent cx="3286760" cy="12382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6760" cy="123825"/>
                        </a:xfrm>
                        <a:prstGeom prst="rect">
                          <a:avLst/>
                        </a:prstGeom>
                        <a:solidFill>
                          <a:srgbClr val="E9E9E9"/>
                        </a:solidFill>
                      </wps:spPr>
                      <wps:bodyPr/>
                    </wps:wsp>
                  </a:graphicData>
                </a:graphic>
              </wp:anchor>
            </w:drawing>
          </mc:Choice>
          <mc:Fallback>
            <w:pict>
              <v:rect id="Shape 32" o:spid="_x0000_s1057" style="position:absolute;margin-left:0pt;margin-top:-21.0999pt;width:258.8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3286760</wp:posOffset>
                </wp:positionH>
                <wp:positionV relativeFrom="paragraph">
                  <wp:posOffset>-267970</wp:posOffset>
                </wp:positionV>
                <wp:extent cx="2656840" cy="12382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6840" cy="123825"/>
                        </a:xfrm>
                        <a:prstGeom prst="rect">
                          <a:avLst/>
                        </a:prstGeom>
                        <a:solidFill>
                          <a:srgbClr val="E9E9E9"/>
                        </a:solidFill>
                      </wps:spPr>
                      <wps:bodyPr/>
                    </wps:wsp>
                  </a:graphicData>
                </a:graphic>
              </wp:anchor>
            </w:drawing>
          </mc:Choice>
          <mc:Fallback>
            <w:pict>
              <v:rect id="Shape 33" o:spid="_x0000_s1058" style="position:absolute;margin-left:258.8pt;margin-top:-21.0999pt;width:209.2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Shimmick Projects</w:t>
      </w:r>
    </w:p>
    <w:p>
      <w:pPr>
        <w:spacing w:after="0" w:line="2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52525"/>
        </w:rPr>
        <w:t>Projects started after the AECOM Sale Transactions ("Shimmick Projects") have focused on water infrastructure and other critical infrastructure. As a result of management's shift in job bidding strategy toward higher margin, lower risk jobs, total revenue recognized on these Shimmick Projects increased by $84 million to $434 million for the fiscal year ended December 29, 2023 as compared to $351 million for the fiscal year ended December 30, 2022 and gross margin increased $5 million, or 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Legacy Projects</w:t>
      </w:r>
    </w:p>
    <w:p>
      <w:pPr>
        <w:spacing w:after="0" w:line="22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52525"/>
        </w:rPr>
        <w:t>As part of the AECOM Sale Transactions, we assumed the Legacy Projects and backlog that were started under AECOM. Legacy Projects revenue decreased $115 million and gross margin was negative $7 million, a decrease of $6 million as compared to fiscal year ended December 30, 2022, primarily as a result of projects winding down and an unfavorable settlement on a Legacy Project.</w:t>
      </w:r>
    </w:p>
    <w:p>
      <w:pPr>
        <w:spacing w:after="0" w:line="18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52525"/>
        </w:rPr>
        <w:t>The negative gross margin is primarily the result of a subset of these projects (“Legacy Loss Projects”) that have experienced significant cost overruns due to the COVID pandemic, design issues and other factors. On this subset, we have recognized the estimated costs to complete and the loss expected from these projects. As these Legacy Loss Projects continue to wind down to completion, no further gross margin will be recognized and in some cases, there may be additional costs associated with these jobs. Revenue recognized on these Legacy Loss Projects was $99 million and $123 million for the fiscal years ended December 29, 2023 and December 30, 2022, respectively. Gross margin recognized on these Legacy Loss Projects was ($14) million and ($23) million for the fiscal years ended December 29, 2023 and December 30, 2022,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9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Selling, general and administrative expenses increased by $1 million, or 2%, primarily resulting from higher legal, professional services and other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 earnings of unconsolidated joint ventures</w:t>
      </w:r>
    </w:p>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Equity in earnings of unconsolidated joint ventures decreased $42 million, or 80%, primarily due to a $56 million impact from the settlement of claims for three infrastructure projects during the fiscal year ended December 30, 2022 that did not re-occur in the fiscal year ended December 29, 2023.</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22" w:right="144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i w:val="1"/>
          <w:iCs w:val="1"/>
          <w:color w:val="auto"/>
        </w:rPr>
        <w:t>Gain on sale of assets</w:t>
      </w:r>
    </w:p>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Gain on sale of assets increased $32 million driven by the sale of non-core business contracts for $30 million as discussed in Note 5 - Property, Plant and Equipment and Intangible Assets, of the notes to the consolidated financial statements included in Item 8 of this Annual Report on Form 10-K, as well as a gain on sale of an office building for $2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 net</w:t>
      </w:r>
    </w:p>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Other expense, net was $3 million for the fiscal year ended December 29, 2023, compared to $9 million in the fiscal year ended December 30, 2022. Other expense, net for the fiscal year ended December 29, 2023 primarily related to interest expense on the Revolving Credit Facility while other expense, net during the fiscal year ended December 30, 2022 was primarily driven by a change in the fair value of contingent consideration from the AECOM Sale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 expense</w:t>
      </w:r>
    </w:p>
    <w:p>
      <w:pPr>
        <w:spacing w:after="0" w:line="19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No taxable income was recognized for the fiscal year ended December 29, 2023, thus no income tax expense was recorded. For the fiscal year ended December 30, 2022, there was approximately $1 million of tax expense after accounting for the utilization of NOL carryforwards.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 income</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Net (loss) income decreased by $ 5 million to a net loss of $2 million for the fiscal year ended December 29, 2023, due to a decrease in income from operations primarily due to a decrease in equity in earnings of unconsolidated joint ventures partially offset by gain on sale of assets as well as a decrease in other expense, net.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financial measures</w:t>
      </w:r>
    </w:p>
    <w:p>
      <w:pPr>
        <w:spacing w:after="0" w:line="19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We report our financial results in accordance with GAAP. However, management believes that certain non-GAAP financial measures provide investors with additional useful information in evaluating our performance. Therefore, to supplement our consolidated financial statements, we provide investors with certain non-GAAP financial measures, including Adjusted net income and Adjusted EBITDA.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net income</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Adjusted net income represents Net (loss) income attributable to Shimmick Corporation adjusted to eliminate changes in fair value of contingent consideration, transaction-related costs, stock-based compensation, and legal fees and other costs for a Legacy Loss Project.</w:t>
      </w:r>
    </w:p>
    <w:p>
      <w:pPr>
        <w:spacing w:after="0" w:line="14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have included Adjusted net income in this Annual Report on Form 10-K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income can provide a useful measure for period-to-period comparisons of our core business. Accordingly, we believe that Adjusted net income provides useful information to investors and others in understanding and evaluating our results of operations.</w:t>
      </w:r>
    </w:p>
    <w:p>
      <w:pPr>
        <w:spacing w:after="0" w:line="16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Our use of Adjusted net income as an analytical tool has limitations, and you should not consider it in isolation or as a substitute for analysis of our financial results as reported under GAAP. Some of these limitations are:</w:t>
      </w:r>
    </w:p>
    <w:p>
      <w:pPr>
        <w:spacing w:after="0" w:line="63" w:lineRule="exact"/>
        <w:rPr>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Adjusted net income does not reflect changes in, or cash requirements for, our working capital needs,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Adjusted net income does not reflect the potentially dilutive impact of stock-based compensation, and</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22" w:right="1440" w:bottom="175" w:gutter="0" w:footer="0" w:header="0"/>
          <w:type w:val="continuous"/>
        </w:sectPr>
      </w:pPr>
    </w:p>
    <w:bookmarkStart w:id="57" w:name="page58"/>
    <w:bookmarkEnd w:id="57"/>
    <w:p>
      <w:pPr>
        <w:ind w:left="980" w:right="60" w:hanging="491"/>
        <w:spacing w:after="0" w:line="276"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other companies, including companies in our industry, might calculate Adjusted net income or similarly titled measures differently, which reduces their usefulness as comparative measures.</w:t>
      </w:r>
    </w:p>
    <w:p>
      <w:pPr>
        <w:spacing w:after="0" w:line="13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Because of these and other limitations, you should consider Adjusted net income alongside Net (loss) income attributable to Shimmick Corporation, which is the most directly comparable GAAP measure. See reconciliation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9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Adjusted EBITDA represents our net (loss) income attributable to Shimmick Corporation before interest expense, income tax expense and depreciation and amortization, adjusted to eliminate changes in fair value of contingent consideration, transaction-related costs, stock-based compensation, and legal fees and other costs for a Legacy Loss Project.</w:t>
      </w:r>
    </w:p>
    <w:p>
      <w:pPr>
        <w:spacing w:after="0" w:line="184"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We have included Adjusted EBITDA in this Annual Report on Form 10 -K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19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Our use of Adjusted EBITDA as an analytical tool has limitations, and you should not consider it in isolation or as a substitute for analysis of our financial results as reported under GAAP. Some of these limitations are:</w:t>
      </w:r>
    </w:p>
    <w:p>
      <w:pPr>
        <w:spacing w:after="0" w:line="63" w:lineRule="exact"/>
        <w:rPr>
          <w:sz w:val="20"/>
          <w:szCs w:val="20"/>
          <w:color w:val="auto"/>
        </w:rPr>
      </w:pPr>
    </w:p>
    <w:p>
      <w:pPr>
        <w:ind w:left="980" w:hanging="491"/>
        <w:spacing w:after="0" w:line="258"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Adjusted EBITDA does not reflect changes in, or cash requirements for, our working capital needs,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Adjusted EBITDA does not reflect the potentially dilutive impact of stock-based compensation,</w:t>
      </w:r>
    </w:p>
    <w:p>
      <w:pPr>
        <w:spacing w:after="0" w:line="133"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Adjusted EBITDA does not reflect interest or tax payments that would reduce the cash available to us, and</w:t>
      </w:r>
    </w:p>
    <w:p>
      <w:pPr>
        <w:spacing w:after="0" w:line="6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other companies, including companies in our industry, might calculate Adjusted EBITDA or similarly titled measures differently, which reduces their usefulness as comparative measures.</w:t>
      </w:r>
    </w:p>
    <w:p>
      <w:pPr>
        <w:sectPr>
          <w:pgSz w:w="12240" w:h="15840" w:orient="portrait"/>
          <w:cols w:equalWidth="0" w:num="1">
            <w:col w:w="9360"/>
          </w:cols>
          <w:pgMar w:left="1440" w:top="143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34" w:right="1440" w:bottom="175" w:gutter="0" w:footer="0" w:header="0"/>
          <w:type w:val="continuous"/>
        </w:sectPr>
      </w:pPr>
    </w:p>
    <w:bookmarkStart w:id="58" w:name="page59"/>
    <w:bookmarkEnd w:id="58"/>
    <w:p>
      <w:pPr>
        <w:ind w:right="360"/>
        <w:spacing w:after="0" w:line="258" w:lineRule="auto"/>
        <w:rPr>
          <w:sz w:val="20"/>
          <w:szCs w:val="20"/>
          <w:color w:val="auto"/>
        </w:rPr>
      </w:pPr>
      <w:r>
        <w:rPr>
          <w:rFonts w:ascii="Times New Roman" w:cs="Times New Roman" w:eastAsia="Times New Roman" w:hAnsi="Times New Roman"/>
          <w:sz w:val="20"/>
          <w:szCs w:val="20"/>
          <w:color w:val="auto"/>
        </w:rPr>
        <w:t>Because of these and other limitations, you should consider Adjusted EBITDA alongside Net (loss) income attributable to Shimmick Corporation, which is the most directly comparable GAAP measure. See reconciliation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100" w:type="dxa"/>
            <w:vAlign w:val="bottom"/>
          </w:tcPr>
          <w:p>
            <w:pPr>
              <w:spacing w:after="0"/>
              <w:rPr>
                <w:sz w:val="22"/>
                <w:szCs w:val="22"/>
                <w:color w:val="auto"/>
              </w:rPr>
            </w:pPr>
          </w:p>
        </w:tc>
      </w:tr>
      <w:tr>
        <w:trPr>
          <w:trHeight w:val="197"/>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ind w:left="40"/>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80" w:type="dxa"/>
            <w:vAlign w:val="bottom"/>
          </w:tcPr>
          <w:p>
            <w:pPr>
              <w:spacing w:after="0"/>
              <w:rPr>
                <w:sz w:val="17"/>
                <w:szCs w:val="17"/>
                <w:color w:val="auto"/>
              </w:rPr>
            </w:pPr>
          </w:p>
        </w:tc>
        <w:tc>
          <w:tcPr>
            <w:tcW w:w="13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100" w:type="dxa"/>
            <w:vAlign w:val="bottom"/>
          </w:tcPr>
          <w:p>
            <w:pPr>
              <w:spacing w:after="0"/>
              <w:rPr>
                <w:sz w:val="17"/>
                <w:szCs w:val="17"/>
                <w:color w:val="auto"/>
              </w:rPr>
            </w:pPr>
          </w:p>
        </w:tc>
      </w:tr>
      <w:tr>
        <w:trPr>
          <w:trHeight w:val="253"/>
        </w:trPr>
        <w:tc>
          <w:tcPr>
            <w:tcW w:w="642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E9E9E9"/>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E9E9E9"/>
            </w:tcBorders>
          </w:tcPr>
          <w:p>
            <w:pPr>
              <w:spacing w:after="0"/>
              <w:rPr>
                <w:sz w:val="22"/>
                <w:szCs w:val="22"/>
                <w:color w:val="auto"/>
              </w:rPr>
            </w:pPr>
          </w:p>
        </w:tc>
      </w:tr>
      <w:tr>
        <w:trPr>
          <w:trHeight w:val="220"/>
        </w:trPr>
        <w:tc>
          <w:tcPr>
            <w:tcW w:w="642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Net (loss) income attributable to Shimmick Corporation</w:t>
            </w: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(2,546)</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3,760</w:t>
            </w:r>
          </w:p>
        </w:tc>
        <w:tc>
          <w:tcPr>
            <w:tcW w:w="100" w:type="dxa"/>
            <w:vAlign w:val="bottom"/>
            <w:shd w:val="clear" w:color="auto" w:fill="E9E9E9"/>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Changes in fair value of contingent consideration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w:t>
            </w:r>
          </w:p>
        </w:tc>
        <w:tc>
          <w:tcPr>
            <w:tcW w:w="100" w:type="dxa"/>
            <w:vAlign w:val="bottom"/>
          </w:tcPr>
          <w:p>
            <w:pPr>
              <w:spacing w:after="0"/>
              <w:rPr>
                <w:sz w:val="19"/>
                <w:szCs w:val="19"/>
                <w:color w:val="auto"/>
              </w:rPr>
            </w:pPr>
          </w:p>
        </w:tc>
      </w:tr>
      <w:tr>
        <w:trPr>
          <w:trHeight w:val="230"/>
        </w:trPr>
        <w:tc>
          <w:tcPr>
            <w:tcW w:w="642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Transaction-related costs</w:t>
            </w: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2,595</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3,104</w:t>
            </w:r>
          </w:p>
        </w:tc>
        <w:tc>
          <w:tcPr>
            <w:tcW w:w="100" w:type="dxa"/>
            <w:vAlign w:val="bottom"/>
            <w:shd w:val="clear" w:color="auto" w:fill="E9E9E9"/>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2,295</w:t>
            </w:r>
          </w:p>
        </w:tc>
        <w:tc>
          <w:tcPr>
            <w:tcW w:w="100" w:type="dxa"/>
            <w:vAlign w:val="bottom"/>
          </w:tcPr>
          <w:p>
            <w:pPr>
              <w:spacing w:after="0"/>
              <w:rPr>
                <w:sz w:val="19"/>
                <w:szCs w:val="19"/>
                <w:color w:val="auto"/>
              </w:rPr>
            </w:pPr>
          </w:p>
        </w:tc>
      </w:tr>
      <w:tr>
        <w:trPr>
          <w:trHeight w:val="230"/>
        </w:trPr>
        <w:tc>
          <w:tcPr>
            <w:tcW w:w="6420" w:type="dxa"/>
            <w:vAlign w:val="bottom"/>
            <w:shd w:val="clear" w:color="auto" w:fill="E9E9E9"/>
          </w:tcPr>
          <w:p>
            <w:pPr>
              <w:spacing w:after="0" w:line="230" w:lineRule="exact"/>
              <w:rPr>
                <w:sz w:val="20"/>
                <w:szCs w:val="20"/>
                <w:color w:val="auto"/>
              </w:rPr>
            </w:pPr>
            <w:r>
              <w:rPr>
                <w:rFonts w:ascii="Times New Roman" w:cs="Times New Roman" w:eastAsia="Times New Roman" w:hAnsi="Times New Roman"/>
                <w:sz w:val="20"/>
                <w:szCs w:val="20"/>
                <w:color w:val="auto"/>
              </w:rPr>
              <w:t xml:space="preserve">Legal fees and other costs for a Legacy Loss Project </w:t>
            </w:r>
            <w:r>
              <w:rPr>
                <w:rFonts w:ascii="Times New Roman" w:cs="Times New Roman" w:eastAsia="Times New Roman" w:hAnsi="Times New Roman"/>
                <w:sz w:val="26"/>
                <w:szCs w:val="26"/>
                <w:color w:val="auto"/>
                <w:vertAlign w:val="superscript"/>
              </w:rPr>
              <w:t>(1)</w:t>
            </w:r>
          </w:p>
        </w:tc>
        <w:tc>
          <w:tcPr>
            <w:tcW w:w="2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8,740</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spacing w:after="0"/>
              <w:rPr>
                <w:sz w:val="19"/>
                <w:szCs w:val="19"/>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10,904</w:t>
            </w:r>
          </w:p>
        </w:tc>
        <w:tc>
          <w:tcPr>
            <w:tcW w:w="100" w:type="dxa"/>
            <w:vAlign w:val="bottom"/>
            <w:shd w:val="clear" w:color="auto" w:fill="E9E9E9"/>
          </w:tcPr>
          <w:p>
            <w:pPr>
              <w:spacing w:after="0"/>
              <w:rPr>
                <w:sz w:val="19"/>
                <w:szCs w:val="19"/>
                <w:color w:val="auto"/>
              </w:rPr>
            </w:pPr>
          </w:p>
        </w:tc>
      </w:tr>
      <w:tr>
        <w:trPr>
          <w:trHeight w:val="220"/>
        </w:trPr>
        <w:tc>
          <w:tcPr>
            <w:tcW w:w="6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Adjusted net income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10,677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29,525</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100" w:type="dxa"/>
            <w:vAlign w:val="bottom"/>
          </w:tcPr>
          <w:p>
            <w:pPr>
              <w:spacing w:after="0"/>
              <w:rPr>
                <w:sz w:val="22"/>
                <w:szCs w:val="22"/>
                <w:color w:val="auto"/>
              </w:rPr>
            </w:pPr>
          </w:p>
        </w:tc>
      </w:tr>
      <w:tr>
        <w:trPr>
          <w:trHeight w:val="197"/>
        </w:trPr>
        <w:tc>
          <w:tcPr>
            <w:tcW w:w="5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3"/>
          </w:tcPr>
          <w:p>
            <w:pPr>
              <w:jc w:val="right"/>
              <w:ind w:right="220"/>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80" w:type="dxa"/>
            <w:vAlign w:val="bottom"/>
          </w:tcPr>
          <w:p>
            <w:pPr>
              <w:spacing w:after="0"/>
              <w:rPr>
                <w:sz w:val="17"/>
                <w:szCs w:val="17"/>
                <w:color w:val="auto"/>
              </w:rPr>
            </w:pPr>
          </w:p>
        </w:tc>
        <w:tc>
          <w:tcPr>
            <w:tcW w:w="13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100" w:type="dxa"/>
            <w:vAlign w:val="bottom"/>
          </w:tcPr>
          <w:p>
            <w:pPr>
              <w:spacing w:after="0"/>
              <w:rPr>
                <w:sz w:val="17"/>
                <w:szCs w:val="17"/>
                <w:color w:val="auto"/>
              </w:rPr>
            </w:pPr>
          </w:p>
        </w:tc>
      </w:tr>
      <w:tr>
        <w:trPr>
          <w:trHeight w:val="253"/>
        </w:trPr>
        <w:tc>
          <w:tcPr>
            <w:tcW w:w="544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9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E9E9E9"/>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E9E9E9"/>
            </w:tcBorders>
          </w:tcPr>
          <w:p>
            <w:pPr>
              <w:spacing w:after="0"/>
              <w:rPr>
                <w:sz w:val="22"/>
                <w:szCs w:val="22"/>
                <w:color w:val="auto"/>
              </w:rPr>
            </w:pPr>
          </w:p>
        </w:tc>
      </w:tr>
      <w:tr>
        <w:trPr>
          <w:trHeight w:val="220"/>
        </w:trPr>
        <w:tc>
          <w:tcPr>
            <w:tcW w:w="544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Net (loss) income attributable to Shimmick Corporation</w:t>
            </w:r>
          </w:p>
        </w:tc>
        <w:tc>
          <w:tcPr>
            <w:tcW w:w="980" w:type="dxa"/>
            <w:vAlign w:val="bottom"/>
            <w:shd w:val="clear" w:color="auto" w:fill="E9E9E9"/>
          </w:tcPr>
          <w:p>
            <w:pPr>
              <w:spacing w:after="0"/>
              <w:rPr>
                <w:sz w:val="19"/>
                <w:szCs w:val="19"/>
                <w:color w:val="auto"/>
              </w:rPr>
            </w:pPr>
          </w:p>
        </w:tc>
        <w:tc>
          <w:tcPr>
            <w:tcW w:w="280" w:type="dxa"/>
            <w:vAlign w:val="bottom"/>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(2,546)</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3,760</w:t>
            </w:r>
          </w:p>
        </w:tc>
        <w:tc>
          <w:tcPr>
            <w:tcW w:w="100" w:type="dxa"/>
            <w:vAlign w:val="bottom"/>
            <w:shd w:val="clear" w:color="auto" w:fill="E9E9E9"/>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15,979</w:t>
            </w:r>
          </w:p>
        </w:tc>
        <w:tc>
          <w:tcPr>
            <w:tcW w:w="100" w:type="dxa"/>
            <w:vAlign w:val="bottom"/>
          </w:tcPr>
          <w:p>
            <w:pPr>
              <w:spacing w:after="0"/>
              <w:rPr>
                <w:sz w:val="19"/>
                <w:szCs w:val="19"/>
                <w:color w:val="auto"/>
              </w:rPr>
            </w:pPr>
          </w:p>
        </w:tc>
      </w:tr>
      <w:tr>
        <w:trPr>
          <w:trHeight w:val="230"/>
        </w:trPr>
        <w:tc>
          <w:tcPr>
            <w:tcW w:w="54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9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2,284</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100" w:type="dxa"/>
            <w:vAlign w:val="bottom"/>
            <w:shd w:val="clear" w:color="auto" w:fill="E9E9E9"/>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100" w:type="dxa"/>
            <w:vAlign w:val="bottom"/>
          </w:tcPr>
          <w:p>
            <w:pPr>
              <w:spacing w:after="0"/>
              <w:rPr>
                <w:sz w:val="19"/>
                <w:szCs w:val="19"/>
                <w:color w:val="auto"/>
              </w:rPr>
            </w:pPr>
          </w:p>
        </w:tc>
      </w:tr>
      <w:tr>
        <w:trPr>
          <w:trHeight w:val="230"/>
        </w:trPr>
        <w:tc>
          <w:tcPr>
            <w:tcW w:w="54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Changes in fair value of contingent consideration</w:t>
            </w:r>
          </w:p>
        </w:tc>
        <w:tc>
          <w:tcPr>
            <w:tcW w:w="9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80" w:type="dxa"/>
            <w:vAlign w:val="bottom"/>
            <w:gridSpan w:val="2"/>
            <w:shd w:val="clear" w:color="auto" w:fill="E9E9E9"/>
          </w:tcPr>
          <w:p>
            <w:pPr>
              <w:jc w:val="right"/>
              <w:ind w:right="100"/>
              <w:spacing w:after="0"/>
              <w:rPr>
                <w:sz w:val="20"/>
                <w:szCs w:val="20"/>
                <w:color w:val="auto"/>
              </w:rPr>
            </w:pPr>
            <w:r>
              <w:rPr>
                <w:rFonts w:ascii="Times New Roman" w:cs="Times New Roman" w:eastAsia="Times New Roman" w:hAnsi="Times New Roman"/>
                <w:sz w:val="20"/>
                <w:szCs w:val="20"/>
                <w:color w:val="auto"/>
              </w:rPr>
              <w:t>(174)</w:t>
            </w: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9,462</w:t>
            </w:r>
          </w:p>
        </w:tc>
        <w:tc>
          <w:tcPr>
            <w:tcW w:w="100" w:type="dxa"/>
            <w:vAlign w:val="bottom"/>
            <w:shd w:val="clear" w:color="auto" w:fill="E9E9E9"/>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Transaction-related costs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w:t>
            </w:r>
          </w:p>
        </w:tc>
        <w:tc>
          <w:tcPr>
            <w:tcW w:w="100" w:type="dxa"/>
            <w:vAlign w:val="bottom"/>
          </w:tcPr>
          <w:p>
            <w:pPr>
              <w:spacing w:after="0"/>
              <w:rPr>
                <w:sz w:val="19"/>
                <w:szCs w:val="19"/>
                <w:color w:val="auto"/>
              </w:rPr>
            </w:pPr>
          </w:p>
        </w:tc>
      </w:tr>
      <w:tr>
        <w:trPr>
          <w:trHeight w:val="230"/>
        </w:trPr>
        <w:tc>
          <w:tcPr>
            <w:tcW w:w="54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9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2,062</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2,295</w:t>
            </w:r>
          </w:p>
        </w:tc>
        <w:tc>
          <w:tcPr>
            <w:tcW w:w="100" w:type="dxa"/>
            <w:vAlign w:val="bottom"/>
            <w:shd w:val="clear" w:color="auto" w:fill="E9E9E9"/>
          </w:tcPr>
          <w:p>
            <w:pPr>
              <w:spacing w:after="0"/>
              <w:rPr>
                <w:sz w:val="19"/>
                <w:szCs w:val="19"/>
                <w:color w:val="auto"/>
              </w:rPr>
            </w:pPr>
          </w:p>
        </w:tc>
      </w:tr>
      <w:tr>
        <w:trPr>
          <w:trHeight w:val="230"/>
        </w:trPr>
        <w:tc>
          <w:tcPr>
            <w:tcW w:w="5440" w:type="dxa"/>
            <w:vAlign w:val="bottom"/>
            <w:tcBorders>
              <w:bottom w:val="single" w:sz="8" w:color="E9E9E9"/>
            </w:tcBorders>
          </w:tcPr>
          <w:p>
            <w:pPr>
              <w:spacing w:after="0" w:line="230" w:lineRule="exact"/>
              <w:rPr>
                <w:sz w:val="20"/>
                <w:szCs w:val="20"/>
                <w:color w:val="auto"/>
              </w:rPr>
            </w:pPr>
            <w:r>
              <w:rPr>
                <w:rFonts w:ascii="Times New Roman" w:cs="Times New Roman" w:eastAsia="Times New Roman" w:hAnsi="Times New Roman"/>
                <w:sz w:val="20"/>
                <w:szCs w:val="20"/>
                <w:color w:val="auto"/>
              </w:rPr>
              <w:t xml:space="preserve">Legal fees and other costs for a Legacy Loss Project </w:t>
            </w:r>
            <w:r>
              <w:rPr>
                <w:rFonts w:ascii="Times New Roman" w:cs="Times New Roman" w:eastAsia="Times New Roman" w:hAnsi="Times New Roman"/>
                <w:sz w:val="26"/>
                <w:szCs w:val="26"/>
                <w:color w:val="auto"/>
                <w:vertAlign w:val="superscript"/>
              </w:rPr>
              <w:t>(1)</w:t>
            </w:r>
          </w:p>
        </w:tc>
        <w:tc>
          <w:tcPr>
            <w:tcW w:w="98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8,740</w:t>
            </w:r>
          </w:p>
        </w:tc>
        <w:tc>
          <w:tcPr>
            <w:tcW w:w="160" w:type="dxa"/>
            <w:vAlign w:val="bottom"/>
            <w:tcBorders>
              <w:bottom w:val="single" w:sz="8" w:color="E9E9E9"/>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10,904</w:t>
            </w:r>
          </w:p>
        </w:tc>
        <w:tc>
          <w:tcPr>
            <w:tcW w:w="100" w:type="dxa"/>
            <w:vAlign w:val="bottom"/>
            <w:tcBorders>
              <w:bottom w:val="single" w:sz="8" w:color="E9E9E9"/>
            </w:tcBorders>
          </w:tcPr>
          <w:p>
            <w:pPr>
              <w:spacing w:after="0"/>
              <w:rPr>
                <w:sz w:val="19"/>
                <w:szCs w:val="19"/>
                <w:color w:val="auto"/>
              </w:rPr>
            </w:pPr>
          </w:p>
        </w:tc>
      </w:tr>
      <w:tr>
        <w:trPr>
          <w:trHeight w:val="220"/>
        </w:trPr>
        <w:tc>
          <w:tcPr>
            <w:tcW w:w="544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Adjusted EBITDA</w:t>
            </w:r>
          </w:p>
        </w:tc>
        <w:tc>
          <w:tcPr>
            <w:tcW w:w="98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30,082</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47,004</w:t>
            </w:r>
          </w:p>
        </w:tc>
        <w:tc>
          <w:tcPr>
            <w:tcW w:w="100" w:type="dxa"/>
            <w:vAlign w:val="bottom"/>
            <w:shd w:val="clear" w:color="auto" w:fill="E9E9E9"/>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Consists of legal fees and other costs incurred in connection with claims relating to a Legacy Loss Project.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Requirements and Sources of Liquidity</w:t>
      </w:r>
    </w:p>
    <w:p>
      <w:pPr>
        <w:spacing w:after="0" w:line="19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During the fiscal year ended December 29, 2023, our capital expenditures were approximately $7 million compared to $10 million for the fiscal year ended December 30, 2022.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and, in the future, our integration of any acquisitions and our compliance with laws and rules applicable to being a public company.</w:t>
      </w:r>
    </w:p>
    <w:p>
      <w:pPr>
        <w:spacing w:after="0" w:line="16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have historically relied upon cash available through operating activities, in addition to credit facilities and existing cash balances, to finance our working capital requirements and to support our growth. On November 16, 2023, we completed our IPO pursuant to which we issued and sold an aggregate of 3,575,000 shares of common stock at a price to the public of $7.00 per share. We received aggregate net proceeds of approximately $19 million after deducting underwriting discounts and commissions of $2 million and other offering expenses of $4 million. We will continue to monitor the capital markets and may continue raising additional capital through the issuance of our common shares, authorized preferred shares or other securities.</w:t>
      </w:r>
    </w:p>
    <w:p>
      <w:pPr>
        <w:spacing w:after="0" w:line="16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We regularly monitor potential capital sources, including equity and debt financing, in an effort to meet our planned expenditures and liquidity requirements. Our future success will be highly dependent on our ability to access outside sources of capital.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0" w:right="1440" w:bottom="175" w:gutter="0" w:footer="0" w:header="0"/>
          <w:type w:val="continuous"/>
        </w:sectPr>
      </w:pPr>
    </w:p>
    <w:bookmarkStart w:id="59" w:name="page60"/>
    <w:bookmarkEnd w:id="59"/>
    <w:p>
      <w:pPr>
        <w:ind w:right="40"/>
        <w:spacing w:after="0" w:line="244" w:lineRule="auto"/>
        <w:rPr>
          <w:sz w:val="20"/>
          <w:szCs w:val="20"/>
          <w:color w:val="auto"/>
        </w:rPr>
      </w:pPr>
      <w:r>
        <w:rPr>
          <w:rFonts w:ascii="Times New Roman" w:cs="Times New Roman" w:eastAsia="Times New Roman" w:hAnsi="Times New Roman"/>
          <w:sz w:val="20"/>
          <w:szCs w:val="20"/>
          <w:color w:val="auto"/>
        </w:rPr>
        <w:t>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 and we believe our balance sheet position supports our ability to fulfill our surety bond requirements.</w:t>
      </w:r>
    </w:p>
    <w:p>
      <w:pPr>
        <w:spacing w:after="0" w:line="166"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Furthermore, as a result of the completion of our IPO on November 16, 2023, we expect to incur additional costs associated with being a public company.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debt outstanding is presented on the consolidated balance sheets as follows:</w:t>
      </w: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60" w:type="dxa"/>
            <w:vAlign w:val="bottom"/>
          </w:tcPr>
          <w:p>
            <w:pPr>
              <w:spacing w:after="0"/>
              <w:rPr>
                <w:sz w:val="19"/>
                <w:szCs w:val="19"/>
                <w:color w:val="auto"/>
              </w:rPr>
            </w:pPr>
          </w:p>
        </w:tc>
      </w:tr>
      <w:tr>
        <w:trPr>
          <w:trHeight w:val="253"/>
        </w:trPr>
        <w:tc>
          <w:tcPr>
            <w:tcW w:w="43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6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E9E9E9"/>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9E9E9"/>
            </w:tcBorders>
          </w:tcPr>
          <w:p>
            <w:pPr>
              <w:spacing w:after="0"/>
              <w:rPr>
                <w:sz w:val="22"/>
                <w:szCs w:val="22"/>
                <w:color w:val="auto"/>
              </w:rPr>
            </w:pPr>
          </w:p>
        </w:tc>
      </w:tr>
      <w:tr>
        <w:trPr>
          <w:trHeight w:val="220"/>
        </w:trPr>
        <w:tc>
          <w:tcPr>
            <w:tcW w:w="43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Revolving Credit Facility</w:t>
            </w:r>
          </w:p>
        </w:tc>
        <w:tc>
          <w:tcPr>
            <w:tcW w:w="16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29,914</w:t>
            </w:r>
          </w:p>
        </w:tc>
        <w:tc>
          <w:tcPr>
            <w:tcW w:w="1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9E9E9"/>
          </w:tcPr>
          <w:p>
            <w:pPr>
              <w:ind w:left="8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E9E9E9"/>
          </w:tcPr>
          <w:p>
            <w:pPr>
              <w:spacing w:after="0"/>
              <w:rPr>
                <w:sz w:val="19"/>
                <w:szCs w:val="19"/>
                <w:color w:val="auto"/>
              </w:rPr>
            </w:pPr>
          </w:p>
        </w:tc>
      </w:tr>
      <w:tr>
        <w:trPr>
          <w:trHeight w:val="220"/>
        </w:trPr>
        <w:tc>
          <w:tcPr>
            <w:tcW w:w="43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debt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29,914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ind w:left="8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19"/>
                <w:szCs w:val="19"/>
                <w:color w:val="auto"/>
              </w:rPr>
            </w:pPr>
          </w:p>
        </w:tc>
      </w:tr>
      <w:tr>
        <w:trPr>
          <w:trHeight w:val="230"/>
        </w:trPr>
        <w:tc>
          <w:tcPr>
            <w:tcW w:w="43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Unamortized debt issuance costs</w:t>
            </w:r>
          </w:p>
        </w:tc>
        <w:tc>
          <w:tcPr>
            <w:tcW w:w="16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22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(287)</w:t>
            </w: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080" w:type="dxa"/>
            <w:vAlign w:val="bottom"/>
            <w:shd w:val="clear" w:color="auto" w:fill="E9E9E9"/>
          </w:tcPr>
          <w:p>
            <w:pPr>
              <w:ind w:left="880"/>
              <w:spacing w:after="0"/>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E9E9E9"/>
          </w:tcPr>
          <w:p>
            <w:pPr>
              <w:spacing w:after="0"/>
              <w:rPr>
                <w:sz w:val="19"/>
                <w:szCs w:val="19"/>
                <w:color w:val="auto"/>
              </w:rPr>
            </w:pPr>
          </w:p>
        </w:tc>
      </w:tr>
      <w:tr>
        <w:trPr>
          <w:trHeight w:val="220"/>
        </w:trPr>
        <w:tc>
          <w:tcPr>
            <w:tcW w:w="430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Long-term debt, net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29,627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ind w:left="88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2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On March 27, 2023, we entered into the Revolving Credit Facility with MidCap Financial Services, LLC, which originally provided a total commitment of $30 million. The Revolving Credit Facility was subsequently amended on June 30, 2023 and September 22, 2023. As amended, the Revolving Credit Facility provides for a total commitment of $35 million and bears interest at an annual rate of adjusted term SOFR, subject to a 1.0% floor, plus 4.50%. Further, the Revolving Credit Facility is subject to an annual collateral management fee of 0.50% and an annual unused line fee of 0.50%. The Revolving Credit Facility Agreement matures on March 27, 2028 and requires the Company to maintain a leverage ratio that does not exceed 1.75 to 1.0. The Company is not aware of any instances of noncompliance with financial covenants as of December 29, 2023.</w:t>
      </w:r>
    </w:p>
    <w:p>
      <w:pPr>
        <w:spacing w:after="0" w:line="1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Following the IPO, we used the net proceeds we received from our IPO, together with cash on hand, to repay all outstanding borrowing under our Revolving Credit Facility. Subsequent to the repayment, we drew $30 million on our Revolving Credit Facility to fund working capital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Project Financing Agreement</w:t>
      </w:r>
    </w:p>
    <w:p>
      <w:pPr>
        <w:spacing w:after="0" w:line="19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On March 26, 2024, we entered into a Project Financing Agreement with Berkshire Hathaway Specialty Insurance Company, National Liability &amp; Fire Insurance Company and National Indemnity Company (collectively "Berkshire") which provides an advance of up to $25 million in exchange for security interest in the assigned and secured collateral specified in the Project Financing Agreement. If drawn, the advance will be used to satisfy bond and bonded contract obligations and bears interest at an annual rate of adjusted term SOFR, subject to a 1.0% floor, plus 4.50%. All funds provided by Berkshire under the Project Financing Agreement as well as all accrued interest are due and payable in full on March 28, 2028.</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20" w:right="1440" w:bottom="175"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64"/>
        </w:trPr>
        <w:tc>
          <w:tcPr>
            <w:tcW w:w="62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Cash Flows Analysis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sets forth our cash flows for the periods indicated: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6"/>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Fiscal Year Ended</w:t>
            </w:r>
          </w:p>
        </w:tc>
      </w:tr>
      <w:tr>
        <w:trPr>
          <w:trHeight w:val="197"/>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0"/>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30,</w:t>
            </w:r>
          </w:p>
        </w:tc>
        <w:tc>
          <w:tcPr>
            <w:tcW w:w="100" w:type="dxa"/>
            <w:vAlign w:val="bottom"/>
          </w:tcPr>
          <w:p>
            <w:pPr>
              <w:spacing w:after="0"/>
              <w:rPr>
                <w:sz w:val="17"/>
                <w:szCs w:val="17"/>
                <w:color w:val="auto"/>
              </w:rPr>
            </w:pPr>
          </w:p>
        </w:tc>
      </w:tr>
      <w:tr>
        <w:trPr>
          <w:trHeight w:val="253"/>
        </w:trPr>
        <w:tc>
          <w:tcPr>
            <w:tcW w:w="62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0" w:type="dxa"/>
            <w:vAlign w:val="bottom"/>
            <w:tcBorders>
              <w:bottom w:val="single" w:sz="8" w:color="E9E9E9"/>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Borders>
              <w:bottom w:val="single" w:sz="8" w:color="E9E9E9"/>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E9E9E9"/>
            </w:tcBorders>
          </w:tcPr>
          <w:p>
            <w:pPr>
              <w:spacing w:after="0"/>
              <w:rPr>
                <w:sz w:val="22"/>
                <w:szCs w:val="22"/>
                <w:color w:val="auto"/>
              </w:rPr>
            </w:pPr>
          </w:p>
        </w:tc>
      </w:tr>
      <w:tr>
        <w:trPr>
          <w:trHeight w:val="220"/>
        </w:trPr>
        <w:tc>
          <w:tcPr>
            <w:tcW w:w="62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(88,100)</w:t>
            </w:r>
          </w:p>
        </w:tc>
        <w:tc>
          <w:tcPr>
            <w:tcW w:w="14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(3,084)</w:t>
            </w:r>
          </w:p>
        </w:tc>
        <w:tc>
          <w:tcPr>
            <w:tcW w:w="100" w:type="dxa"/>
            <w:vAlign w:val="bottom"/>
            <w:shd w:val="clear" w:color="auto" w:fill="E9E9E9"/>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w:t>
            </w:r>
          </w:p>
        </w:tc>
        <w:tc>
          <w:tcPr>
            <w:tcW w:w="100" w:type="dxa"/>
            <w:vAlign w:val="bottom"/>
          </w:tcPr>
          <w:p>
            <w:pPr>
              <w:spacing w:after="0"/>
              <w:rPr>
                <w:sz w:val="19"/>
                <w:szCs w:val="19"/>
                <w:color w:val="auto"/>
              </w:rPr>
            </w:pPr>
          </w:p>
        </w:tc>
      </w:tr>
      <w:tr>
        <w:trPr>
          <w:trHeight w:val="230"/>
        </w:trPr>
        <w:tc>
          <w:tcPr>
            <w:tcW w:w="62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3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47,875</w:t>
            </w:r>
          </w:p>
        </w:tc>
        <w:tc>
          <w:tcPr>
            <w:tcW w:w="14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00" w:type="dxa"/>
            <w:vAlign w:val="bottom"/>
            <w:gridSpan w:val="2"/>
            <w:shd w:val="clear" w:color="auto" w:fill="E9E9E9"/>
          </w:tcPr>
          <w:p>
            <w:pPr>
              <w:jc w:val="right"/>
              <w:ind w:right="20"/>
              <w:spacing w:after="0"/>
              <w:rPr>
                <w:sz w:val="20"/>
                <w:szCs w:val="20"/>
                <w:color w:val="auto"/>
              </w:rPr>
            </w:pPr>
            <w:r>
              <w:rPr>
                <w:rFonts w:ascii="Times New Roman" w:cs="Times New Roman" w:eastAsia="Times New Roman" w:hAnsi="Times New Roman"/>
                <w:sz w:val="20"/>
                <w:szCs w:val="20"/>
                <w:color w:val="auto"/>
              </w:rPr>
              <w:t>(931)</w:t>
            </w:r>
          </w:p>
        </w:tc>
      </w:tr>
      <w:tr>
        <w:trPr>
          <w:trHeight w:val="220"/>
        </w:trPr>
        <w:tc>
          <w:tcPr>
            <w:tcW w:w="6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182</w:t>
            </w:r>
          </w:p>
        </w:tc>
        <w:tc>
          <w:tcPr>
            <w:tcW w:w="100" w:type="dxa"/>
            <w:vAlign w:val="bottom"/>
          </w:tcPr>
          <w:p>
            <w:pPr>
              <w:spacing w:after="0"/>
              <w:rPr>
                <w:sz w:val="19"/>
                <w:szCs w:val="19"/>
                <w:color w:val="auto"/>
              </w:rPr>
            </w:pPr>
          </w:p>
        </w:tc>
      </w:tr>
      <w:tr>
        <w:trPr>
          <w:trHeight w:val="230"/>
        </w:trPr>
        <w:tc>
          <w:tcPr>
            <w:tcW w:w="62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beginning of period</w:t>
            </w: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82,085</w:t>
            </w:r>
          </w:p>
        </w:tc>
        <w:tc>
          <w:tcPr>
            <w:tcW w:w="14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3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81,903</w:t>
            </w:r>
          </w:p>
        </w:tc>
        <w:tc>
          <w:tcPr>
            <w:tcW w:w="100" w:type="dxa"/>
            <w:vAlign w:val="bottom"/>
            <w:shd w:val="clear" w:color="auto" w:fill="E9E9E9"/>
          </w:tcPr>
          <w:p>
            <w:pPr>
              <w:spacing w:after="0"/>
              <w:rPr>
                <w:sz w:val="19"/>
                <w:szCs w:val="19"/>
                <w:color w:val="auto"/>
              </w:rPr>
            </w:pPr>
          </w:p>
        </w:tc>
      </w:tr>
      <w:tr>
        <w:trPr>
          <w:trHeight w:val="220"/>
        </w:trPr>
        <w:tc>
          <w:tcPr>
            <w:tcW w:w="6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Cash, cash equivalents and restricted cash, end of period</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63,910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82,085</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9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During the fiscal year ended December 29, 2023, net cash used in operating activities was $88 million, compared to net cash used in operating activities of $3 million for the fiscal year ended December 30, 2022. Cash flows used in operating activities were driven by reduced net income, adjusted for various non-cash items and changes in accounts receivable, due from unconsolidated joint ventures, contract assets, accounts payable, contract liabilities and accrued expenses balances (collectively, “Contract Capital”), as discussed below, accrued salaries and wages and other assets and liabilities.</w:t>
      </w:r>
    </w:p>
    <w:p>
      <w:pPr>
        <w:spacing w:after="0" w:line="16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Changes in Contract Capital—The change in operating assets and liabilities varies due to fluctuations and timing in operating activities and Contract Capital. The changes in the components of Contract Capital during the fiscal years ended December 29, 2023 and December 30, 2022 were as follows: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4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6"/>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Fiscal Year Ended</w:t>
            </w:r>
          </w:p>
        </w:tc>
      </w:tr>
      <w:tr>
        <w:trPr>
          <w:trHeight w:val="196"/>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60"/>
              <w:spacing w:after="0" w:line="197"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60"/>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7"/>
                <w:szCs w:val="17"/>
                <w:color w:val="auto"/>
              </w:rPr>
            </w:pPr>
          </w:p>
        </w:tc>
      </w:tr>
      <w:tr>
        <w:trPr>
          <w:trHeight w:val="230"/>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30,</w:t>
            </w:r>
          </w:p>
        </w:tc>
        <w:tc>
          <w:tcPr>
            <w:tcW w:w="60" w:type="dxa"/>
            <w:vAlign w:val="bottom"/>
          </w:tcPr>
          <w:p>
            <w:pPr>
              <w:spacing w:after="0"/>
              <w:rPr>
                <w:sz w:val="19"/>
                <w:szCs w:val="19"/>
                <w:color w:val="auto"/>
              </w:rPr>
            </w:pPr>
          </w:p>
        </w:tc>
      </w:tr>
      <w:tr>
        <w:trPr>
          <w:trHeight w:val="253"/>
        </w:trPr>
        <w:tc>
          <w:tcPr>
            <w:tcW w:w="48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4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Borders>
              <w:bottom w:val="single" w:sz="8" w:color="E9E9E9"/>
            </w:tcBorders>
          </w:tcPr>
          <w:p>
            <w:pPr>
              <w:spacing w:after="0"/>
              <w:rPr>
                <w:sz w:val="22"/>
                <w:szCs w:val="22"/>
                <w:color w:val="auto"/>
              </w:rPr>
            </w:pPr>
          </w:p>
        </w:tc>
        <w:tc>
          <w:tcPr>
            <w:tcW w:w="4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9E9E9"/>
            </w:tcBorders>
          </w:tcPr>
          <w:p>
            <w:pPr>
              <w:spacing w:after="0"/>
              <w:rPr>
                <w:sz w:val="22"/>
                <w:szCs w:val="22"/>
                <w:color w:val="auto"/>
              </w:rPr>
            </w:pPr>
          </w:p>
        </w:tc>
      </w:tr>
      <w:tr>
        <w:trPr>
          <w:trHeight w:val="220"/>
        </w:trPr>
        <w:tc>
          <w:tcPr>
            <w:tcW w:w="48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Accounts receivable, net</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2,251</w:t>
            </w:r>
          </w:p>
        </w:tc>
        <w:tc>
          <w:tcPr>
            <w:tcW w:w="12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1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41,574</w:t>
            </w:r>
          </w:p>
        </w:tc>
        <w:tc>
          <w:tcPr>
            <w:tcW w:w="60" w:type="dxa"/>
            <w:vAlign w:val="bottom"/>
            <w:shd w:val="clear" w:color="auto" w:fill="E9E9E9"/>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Due from unconsolidated joint ventures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7,079</w:t>
            </w:r>
          </w:p>
        </w:tc>
        <w:tc>
          <w:tcPr>
            <w:tcW w:w="60" w:type="dxa"/>
            <w:vAlign w:val="bottom"/>
          </w:tcPr>
          <w:p>
            <w:pPr>
              <w:spacing w:after="0"/>
              <w:rPr>
                <w:sz w:val="19"/>
                <w:szCs w:val="19"/>
                <w:color w:val="auto"/>
              </w:rPr>
            </w:pPr>
          </w:p>
        </w:tc>
      </w:tr>
      <w:tr>
        <w:trPr>
          <w:trHeight w:val="230"/>
        </w:trPr>
        <w:tc>
          <w:tcPr>
            <w:tcW w:w="48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Contract assets</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160" w:type="dxa"/>
            <w:vAlign w:val="bottom"/>
            <w:gridSpan w:val="2"/>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(9,334)</w:t>
            </w:r>
          </w:p>
        </w:tc>
        <w:tc>
          <w:tcPr>
            <w:tcW w:w="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1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(46,736)</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13,747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10,436</w:t>
            </w:r>
          </w:p>
        </w:tc>
        <w:tc>
          <w:tcPr>
            <w:tcW w:w="60" w:type="dxa"/>
            <w:vAlign w:val="bottom"/>
          </w:tcPr>
          <w:p>
            <w:pPr>
              <w:spacing w:after="0"/>
              <w:rPr>
                <w:sz w:val="19"/>
                <w:szCs w:val="19"/>
                <w:color w:val="auto"/>
              </w:rPr>
            </w:pPr>
          </w:p>
        </w:tc>
      </w:tr>
      <w:tr>
        <w:trPr>
          <w:trHeight w:val="230"/>
        </w:trPr>
        <w:tc>
          <w:tcPr>
            <w:tcW w:w="48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Contract liabilities</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160" w:type="dxa"/>
            <w:vAlign w:val="bottom"/>
            <w:gridSpan w:val="2"/>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(47,940)</w:t>
            </w:r>
          </w:p>
        </w:tc>
        <w:tc>
          <w:tcPr>
            <w:tcW w:w="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1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(94,165)</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(26,861)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31,471</w:t>
            </w:r>
          </w:p>
        </w:tc>
        <w:tc>
          <w:tcPr>
            <w:tcW w:w="60" w:type="dxa"/>
            <w:vAlign w:val="bottom"/>
          </w:tcPr>
          <w:p>
            <w:pPr>
              <w:spacing w:after="0"/>
              <w:rPr>
                <w:sz w:val="19"/>
                <w:szCs w:val="19"/>
                <w:color w:val="auto"/>
              </w:rPr>
            </w:pPr>
          </w:p>
        </w:tc>
      </w:tr>
      <w:tr>
        <w:trPr>
          <w:trHeight w:val="220"/>
        </w:trPr>
        <w:tc>
          <w:tcPr>
            <w:tcW w:w="4800" w:type="dxa"/>
            <w:vAlign w:val="bottom"/>
            <w:tcBorders>
              <w:top w:val="single" w:sz="8" w:color="E9E9E9"/>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Changes in Contract Capital, net</w:t>
            </w:r>
          </w:p>
        </w:tc>
        <w:tc>
          <w:tcPr>
            <w:tcW w:w="14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(67,824)</w:t>
            </w:r>
          </w:p>
        </w:tc>
        <w:tc>
          <w:tcPr>
            <w:tcW w:w="120" w:type="dxa"/>
            <w:vAlign w:val="bottom"/>
            <w:tcBorders>
              <w:top w:val="single" w:sz="8" w:color="E9E9E9"/>
            </w:tcBorders>
            <w:shd w:val="clear" w:color="auto" w:fill="E9E9E9"/>
          </w:tcPr>
          <w:p>
            <w:pPr>
              <w:spacing w:after="0"/>
              <w:rPr>
                <w:sz w:val="19"/>
                <w:szCs w:val="19"/>
                <w:color w:val="auto"/>
              </w:rPr>
            </w:pPr>
          </w:p>
        </w:tc>
        <w:tc>
          <w:tcPr>
            <w:tcW w:w="4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auto"/>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(50,341)</w:t>
            </w:r>
          </w:p>
        </w:tc>
        <w:tc>
          <w:tcPr>
            <w:tcW w:w="60" w:type="dxa"/>
            <w:vAlign w:val="bottom"/>
            <w:tcBorders>
              <w:top w:val="single" w:sz="8" w:color="E9E9E9"/>
            </w:tcBorders>
            <w:shd w:val="clear" w:color="auto" w:fill="E9E9E9"/>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During the fiscal year ended December 29, 2023, the decrease in Contract Capital was $68 million, which was primarily driven by decreases in contract liabilities and accrued expenses. The Company’s Contract Capital fluctuations are impacted by the mix of projects in backlog, seasonality, the timing of new awards and related payments for work performed and the contract billings to the customer as projects are completed. Contract Capital is also impacted at period-end by the timing of accounts receivable collections and accounts payable payments for projects.</w:t>
      </w:r>
    </w:p>
    <w:p>
      <w:pPr>
        <w:spacing w:after="0" w:line="19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color w:val="auto"/>
        </w:rPr>
        <w:t>The impact on cash flows from operations in the fiscal years ended December 29, 2023 and December 30, 2022 from Legacy Loss Projects was cash used of approximately $65 million and $96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9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For the fiscal year ended December 29, 2023, net cash provided by investing activities was $22 million, which primarily consisted of cash proceeds from the sale of non-core business contracts of $30 million, proceeds from sale of assets of $6 million ($4 million due to sale of an office building), and return of investment in unconsolidated joint ventures of $ 16 million, partially offset by unconsolidated joint venture equity contributions of $23 million and purchases of property, plant and equipment of $7 million.</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22" w:right="1440" w:bottom="175" w:gutter="0" w:footer="0" w:header="0"/>
          <w:type w:val="continuous"/>
        </w:sectPr>
      </w:pPr>
    </w:p>
    <w:bookmarkStart w:id="61" w:name="page62"/>
    <w:bookmarkEnd w:id="61"/>
    <w:p>
      <w:pPr>
        <w:ind w:right="340"/>
        <w:spacing w:after="0" w:line="252" w:lineRule="auto"/>
        <w:rPr>
          <w:sz w:val="20"/>
          <w:szCs w:val="20"/>
          <w:color w:val="auto"/>
        </w:rPr>
      </w:pPr>
      <w:r>
        <w:rPr>
          <w:rFonts w:ascii="Times New Roman" w:cs="Times New Roman" w:eastAsia="Times New Roman" w:hAnsi="Times New Roman"/>
          <w:sz w:val="20"/>
          <w:szCs w:val="20"/>
          <w:color w:val="auto"/>
        </w:rPr>
        <w:t>For the fiscal year ended December 30, 2022, net cash provided by investing activities was $4 million, which primarily consisted of a net working capital settlement in association with the AECOM Sale Transactions of $32 million and proceeds from sale of assets of $2 million, partially offset by unconsolidated joint venture equity contributions of $20 million, and purchases of property, plant and equipment of $10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For the fiscal year ended December 29, 2023, net cash provided by financing activities was $48 million, which primarily consisted of net proceeds from the Revolving Credit Facility borrowings of $30 million and IPO proceeds of $25 million, partially offset by payments of IPO costs of $6 million.</w:t>
      </w:r>
    </w:p>
    <w:p>
      <w:pPr>
        <w:spacing w:after="0" w:line="14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For the fiscal year ended December 30, 2022, net cash used in financing activities was $1 million, which primarily consisted of distributions to non-controlling interests.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Letters of Credit</w:t>
      </w:r>
    </w:p>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We obtain standby letters of credit as required from time to time by our insurance carriers. At December 29, 2023 and December 30, 2022, the total amounts of standby letters of credit outstanding were $0 and $8 million,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Contractual Obligations</w:t>
      </w:r>
    </w:p>
    <w:p>
      <w:pPr>
        <w:spacing w:after="0" w:line="19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Contractual obligations of the Company consisted of liabilities associated with remaining lease payments through the fiscal years ending through December 31, 2028 of approximately $10 million, $8 million, $ 4 million, $2 million and $2 million, respectively, and approximately $1 million in the aggregate thereafter based on balances outstanding as of December 29, 2023. See Note 10 - Leases, of the notes to the consolidated financial statements included in Item 8 of this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20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As of December 29, 2023, we had a backlog of projects of approximately $1.1 billion, with over half of that amount comprised of water projects. We believe we have the ability to self-perform many of these projects, enabling us to compete for complex projects and differentiating us from many of our competitors. Self-performance also enables us to better control the critical aspects of our projects, reducing the risk of cost and schedule overruns.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20" w:right="1440" w:bottom="175" w:gutter="0" w:footer="0" w:header="0"/>
          <w:type w:val="continuous"/>
        </w:sectPr>
      </w:pPr>
    </w:p>
    <w:bookmarkStart w:id="62" w:name="page63"/>
    <w:bookmarkEnd w:id="62"/>
    <w:p>
      <w:pPr>
        <w:ind w:right="440"/>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Company's percentage of backlog by customer type, contract type and backlog recognized:</w:t>
      </w:r>
    </w:p>
    <w:p>
      <w:pPr>
        <w:spacing w:after="0" w:line="15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5"/>
              </w:rPr>
              <w:t>As of</w:t>
            </w:r>
          </w:p>
        </w:tc>
      </w:tr>
      <w:tr>
        <w:trPr>
          <w:trHeight w:val="230"/>
        </w:trPr>
        <w:tc>
          <w:tcPr>
            <w:tcW w:w="6100" w:type="dxa"/>
            <w:vAlign w:val="bottom"/>
          </w:tcPr>
          <w:p>
            <w:pPr>
              <w:spacing w:after="0"/>
              <w:rPr>
                <w:sz w:val="19"/>
                <w:szCs w:val="19"/>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December 29,</w:t>
            </w:r>
          </w:p>
        </w:tc>
      </w:tr>
      <w:tr>
        <w:trPr>
          <w:trHeight w:val="253"/>
        </w:trPr>
        <w:tc>
          <w:tcPr>
            <w:tcW w:w="61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tc>
        <w:tc>
          <w:tcPr>
            <w:tcW w:w="13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20"/>
        </w:trPr>
        <w:tc>
          <w:tcPr>
            <w:tcW w:w="61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Backlog by customer type:</w:t>
            </w:r>
          </w:p>
        </w:tc>
        <w:tc>
          <w:tcPr>
            <w:tcW w:w="1380" w:type="dxa"/>
            <w:vAlign w:val="bottom"/>
            <w:shd w:val="clear" w:color="auto" w:fill="E9E9E9"/>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agencies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61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Federal agencies</w:t>
            </w:r>
          </w:p>
        </w:tc>
        <w:tc>
          <w:tcPr>
            <w:tcW w:w="13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61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Private owners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0"/>
        </w:trPr>
        <w:tc>
          <w:tcPr>
            <w:tcW w:w="61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Total backlog</w:t>
            </w:r>
          </w:p>
        </w:tc>
        <w:tc>
          <w:tcPr>
            <w:tcW w:w="13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r>
      <w:tr>
        <w:trPr>
          <w:trHeight w:val="20"/>
        </w:trPr>
        <w:tc>
          <w:tcPr>
            <w:tcW w:w="6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5"/>
              </w:rPr>
              <w:t>As of</w:t>
            </w:r>
          </w:p>
        </w:tc>
      </w:tr>
      <w:tr>
        <w:trPr>
          <w:trHeight w:val="230"/>
        </w:trPr>
        <w:tc>
          <w:tcPr>
            <w:tcW w:w="6100" w:type="dxa"/>
            <w:vAlign w:val="bottom"/>
          </w:tcPr>
          <w:p>
            <w:pPr>
              <w:spacing w:after="0"/>
              <w:rPr>
                <w:sz w:val="20"/>
                <w:szCs w:val="20"/>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December 29,</w:t>
            </w:r>
          </w:p>
        </w:tc>
      </w:tr>
      <w:tr>
        <w:trPr>
          <w:trHeight w:val="253"/>
        </w:trPr>
        <w:tc>
          <w:tcPr>
            <w:tcW w:w="61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tc>
        <w:tc>
          <w:tcPr>
            <w:tcW w:w="13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20"/>
        </w:trPr>
        <w:tc>
          <w:tcPr>
            <w:tcW w:w="61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Backlog by contract type:</w:t>
            </w:r>
          </w:p>
        </w:tc>
        <w:tc>
          <w:tcPr>
            <w:tcW w:w="1380" w:type="dxa"/>
            <w:vAlign w:val="bottom"/>
            <w:shd w:val="clear" w:color="auto" w:fill="E9E9E9"/>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Fixed-price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0"/>
        </w:trPr>
        <w:tc>
          <w:tcPr>
            <w:tcW w:w="6100" w:type="dxa"/>
            <w:vAlign w:val="bottom"/>
            <w:tcBorders>
              <w:bottom w:val="single" w:sz="8" w:color="E9E9E9"/>
            </w:tcBorders>
            <w:shd w:val="clear" w:color="auto" w:fill="E9E9E9"/>
          </w:tcPr>
          <w:p>
            <w:pPr>
              <w:spacing w:after="0"/>
              <w:rPr>
                <w:sz w:val="20"/>
                <w:szCs w:val="20"/>
                <w:color w:val="auto"/>
              </w:rPr>
            </w:pPr>
            <w:r>
              <w:rPr>
                <w:rFonts w:ascii="Times New Roman" w:cs="Times New Roman" w:eastAsia="Times New Roman" w:hAnsi="Times New Roman"/>
                <w:sz w:val="20"/>
                <w:szCs w:val="20"/>
                <w:color w:val="auto"/>
              </w:rPr>
              <w:t>Cost reimbursable</w:t>
            </w:r>
          </w:p>
        </w:tc>
        <w:tc>
          <w:tcPr>
            <w:tcW w:w="13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00"/>
        </w:trPr>
        <w:tc>
          <w:tcPr>
            <w:tcW w:w="61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Total backlog</w:t>
            </w:r>
          </w:p>
        </w:tc>
        <w:tc>
          <w:tcPr>
            <w:tcW w:w="13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100%</w:t>
            </w:r>
          </w:p>
        </w:tc>
      </w:tr>
      <w:tr>
        <w:trPr>
          <w:trHeight w:val="20"/>
        </w:trPr>
        <w:tc>
          <w:tcPr>
            <w:tcW w:w="6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5"/>
              </w:rPr>
              <w:t>As of</w:t>
            </w:r>
          </w:p>
        </w:tc>
      </w:tr>
      <w:tr>
        <w:trPr>
          <w:trHeight w:val="230"/>
        </w:trPr>
        <w:tc>
          <w:tcPr>
            <w:tcW w:w="6100" w:type="dxa"/>
            <w:vAlign w:val="bottom"/>
          </w:tcPr>
          <w:p>
            <w:pPr>
              <w:spacing w:after="0"/>
              <w:rPr>
                <w:sz w:val="19"/>
                <w:szCs w:val="19"/>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December 29,</w:t>
            </w:r>
          </w:p>
        </w:tc>
      </w:tr>
      <w:tr>
        <w:trPr>
          <w:trHeight w:val="253"/>
        </w:trPr>
        <w:tc>
          <w:tcPr>
            <w:tcW w:w="61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millions)</w:t>
            </w:r>
          </w:p>
        </w:tc>
        <w:tc>
          <w:tcPr>
            <w:tcW w:w="13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20"/>
        </w:trPr>
        <w:tc>
          <w:tcPr>
            <w:tcW w:w="61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Estimated backlog recognized:</w:t>
            </w:r>
          </w:p>
        </w:tc>
        <w:tc>
          <w:tcPr>
            <w:tcW w:w="1380" w:type="dxa"/>
            <w:vAlign w:val="bottom"/>
            <w:shd w:val="clear" w:color="auto" w:fill="E9E9E9"/>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0 to 24 months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61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25 to 36 months</w:t>
            </w:r>
          </w:p>
        </w:tc>
        <w:tc>
          <w:tcPr>
            <w:tcW w:w="13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61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Beyond 36 months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20"/>
        </w:trPr>
        <w:tc>
          <w:tcPr>
            <w:tcW w:w="61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Total backlog</w:t>
            </w:r>
          </w:p>
        </w:tc>
        <w:tc>
          <w:tcPr>
            <w:tcW w:w="13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100%</w:t>
            </w:r>
          </w:p>
        </w:tc>
      </w:tr>
      <w:tr>
        <w:trPr>
          <w:trHeight w:val="20"/>
        </w:trPr>
        <w:tc>
          <w:tcPr>
            <w:tcW w:w="6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discussion of our financial condition and results of operations is based upon our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and Estimated Costs to Complete Projects</w:t>
      </w:r>
    </w:p>
    <w:p>
      <w:pPr>
        <w:spacing w:after="0" w:line="22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The Company recognizes revenue from signed contracts with customers, change orders (approved and unapproved) and claims on those contracts that we conclude to be enforceable under the terms of the signed contracts. Many of</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175" w:gutter="0" w:footer="0" w:header="0"/>
          <w:type w:val="continuous"/>
        </w:sectPr>
      </w:pPr>
    </w:p>
    <w:bookmarkStart w:id="63" w:name="page64"/>
    <w:bookmarkEnd w:id="63"/>
    <w:p>
      <w:pPr>
        <w:ind w:right="40"/>
        <w:spacing w:after="0" w:line="252" w:lineRule="auto"/>
        <w:rPr>
          <w:sz w:val="20"/>
          <w:szCs w:val="20"/>
          <w:color w:val="auto"/>
        </w:rPr>
      </w:pPr>
      <w:r>
        <w:rPr>
          <w:rFonts w:ascii="Times New Roman" w:cs="Times New Roman" w:eastAsia="Times New Roman" w:hAnsi="Times New Roman"/>
          <w:sz w:val="20"/>
          <w:szCs w:val="20"/>
          <w:color w:val="auto"/>
        </w:rPr>
        <w:t>the Company’s contracts have one clearly identifiable performance obligation. However, some contracts provide the customer an integrated service that includes two or more of services associated with construction, operations and management. The determination of the number of performance obligations in a contract requires significant judgment and could change the timing of the amount of revenue recorded for a given period.</w:t>
      </w:r>
    </w:p>
    <w:p>
      <w:pPr>
        <w:spacing w:after="0" w:line="18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variable compensation such as bonuses, awards, incentive fees, claims, unapproved change orders, unpriced change orders, penalties, and liquidated damages.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makes adjustments accordingly.</w:t>
      </w:r>
    </w:p>
    <w:p>
      <w:pPr>
        <w:spacing w:after="0" w:line="19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Company has numerous contracts that are in various stages of completion which require estimates to determine the forecasted costs at completion. Due to the nature of the work left to be performed on many of the Company’s contracts, the estimation of total cost at completion (“EAC”)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 in the cost of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Orders</w:t>
      </w:r>
    </w:p>
    <w:p>
      <w:pPr>
        <w:spacing w:after="0" w:line="228"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 during the period the modification occurs and throughout the remainder of the contract.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Claims Recognition</w:t>
      </w:r>
    </w:p>
    <w:p>
      <w:pPr>
        <w:spacing w:after="0" w:line="2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2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prescribed by the Accounting Standards Codification Topic 740 — Income Taxes (“ASC 740”). This method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consolidated financial statements and tax bases of assets and liabilities by using enacted tax rates in effect for the year in which the differences are expected to reverse.</w:t>
      </w:r>
    </w:p>
    <w:p>
      <w:pPr>
        <w:spacing w:after="0" w:line="1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and Smaller Reporting Company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20" w:right="1440" w:bottom="175" w:gutter="0" w:footer="0" w:header="0"/>
          <w:type w:val="continuous"/>
        </w:sectPr>
      </w:pPr>
    </w:p>
    <w:bookmarkStart w:id="64" w:name="page65"/>
    <w:bookmarkEnd w:id="64"/>
    <w:p>
      <w:pPr>
        <w:spacing w:after="0" w:line="211"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For so long as we are an emerging growth company, we will, among other things:</w:t>
      </w:r>
    </w:p>
    <w:p>
      <w:pPr>
        <w:spacing w:after="0" w:line="63" w:lineRule="exact"/>
        <w:rPr>
          <w:sz w:val="20"/>
          <w:szCs w:val="20"/>
          <w:color w:val="auto"/>
        </w:rPr>
      </w:pPr>
    </w:p>
    <w:p>
      <w:pPr>
        <w:ind w:left="980" w:right="24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not be required to comply with the auditor attestation requirements of Section 404(b) of the Sarbanes-Oxley Act,</w:t>
      </w:r>
    </w:p>
    <w:p>
      <w:pPr>
        <w:spacing w:after="0" w:line="64"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not be required to hold a nonbinding advisory stockholder vote on executive compensation pursuant to Section 14A(a) of the Exchange Act,</w:t>
      </w:r>
    </w:p>
    <w:p>
      <w:pPr>
        <w:spacing w:after="0" w:line="64" w:lineRule="exact"/>
        <w:rPr>
          <w:rFonts w:ascii="Arial" w:cs="Arial" w:eastAsia="Arial" w:hAnsi="Arial"/>
          <w:sz w:val="20"/>
          <w:szCs w:val="20"/>
          <w:color w:val="auto"/>
        </w:rPr>
      </w:pPr>
    </w:p>
    <w:p>
      <w:pPr>
        <w:ind w:left="980" w:right="4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not be required to seek stockholder approval of any golden parachute payments not previously approved pursuant to Section 14A(b) of the Exchange Act,</w:t>
      </w:r>
    </w:p>
    <w:p>
      <w:pPr>
        <w:spacing w:after="0" w:line="64" w:lineRule="exact"/>
        <w:rPr>
          <w:rFonts w:ascii="Arial" w:cs="Arial" w:eastAsia="Arial" w:hAnsi="Arial"/>
          <w:sz w:val="20"/>
          <w:szCs w:val="20"/>
          <w:color w:val="auto"/>
        </w:rPr>
      </w:pPr>
    </w:p>
    <w:p>
      <w:pPr>
        <w:ind w:left="980" w:right="60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be exempt from any rule adopted by the Public Company Accounting Oversight Board, requiring mandatory audit firm rotation and identification of critical audit matters,</w:t>
      </w:r>
    </w:p>
    <w:p>
      <w:pPr>
        <w:spacing w:after="0" w:line="64" w:lineRule="exact"/>
        <w:rPr>
          <w:rFonts w:ascii="Arial" w:cs="Arial" w:eastAsia="Arial" w:hAnsi="Arial"/>
          <w:sz w:val="20"/>
          <w:szCs w:val="20"/>
          <w:color w:val="auto"/>
        </w:rPr>
      </w:pPr>
    </w:p>
    <w:p>
      <w:pPr>
        <w:ind w:left="980" w:right="260" w:hanging="491"/>
        <w:spacing w:after="0" w:line="276"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reduced disclosure obligations regarding executive compensation in our periodic reports and proxy statements, and</w:t>
      </w:r>
    </w:p>
    <w:p>
      <w:pPr>
        <w:spacing w:after="0" w:line="64"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reduced obligations with respect to financial data, including presenting only two years of audited financial statements and only two years of selected financial data in this Annual Report on Form 10-K.</w:t>
      </w:r>
    </w:p>
    <w:p>
      <w:pPr>
        <w:spacing w:after="0" w:line="1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will continue to qualify as an emerging growth company until the earliest of:</w:t>
      </w:r>
    </w:p>
    <w:p>
      <w:pPr>
        <w:spacing w:after="0" w:line="134" w:lineRule="exact"/>
        <w:rPr>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last day of our fiscal year following the fifth anniversary of the date of our initial public offering,</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last day of our fiscal year in which we have annual gross revenue of $1.235 billion or more,</w:t>
      </w:r>
    </w:p>
    <w:p>
      <w:pPr>
        <w:spacing w:after="0" w:line="133"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date on which we have, during the previous three-year period, issued more than $1.0 billion in non-convertible debt,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date on which we are deemed to be a “large accelerated filer,” which will occur at such time as we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(1) have an aggregate worldwide market value of common equity securities held by non-affiliates of</w:t>
      </w:r>
    </w:p>
    <w:p>
      <w:pPr>
        <w:ind w:left="980"/>
        <w:spacing w:after="0"/>
        <w:rPr>
          <w:sz w:val="20"/>
          <w:szCs w:val="20"/>
          <w:color w:val="auto"/>
        </w:rPr>
      </w:pPr>
      <w:r>
        <w:rPr>
          <w:rFonts w:ascii="Times New Roman" w:cs="Times New Roman" w:eastAsia="Times New Roman" w:hAnsi="Times New Roman"/>
          <w:sz w:val="20"/>
          <w:szCs w:val="20"/>
          <w:color w:val="auto"/>
        </w:rPr>
        <w:t>$700.0 million or more as of the last business day of our most recently completed second fiscal quarter,</w:t>
      </w:r>
    </w:p>
    <w:p>
      <w:pPr>
        <w:ind w:left="980" w:right="380" w:hanging="1"/>
        <w:spacing w:after="0" w:line="248" w:lineRule="auto"/>
        <w:tabs>
          <w:tab w:leader="none" w:pos="126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required to file annual and quarterly reports under the Exchange Act for a period of at least 12 months and (3) have filed at least one annual report pursuant to the Exchange Act.</w:t>
      </w:r>
    </w:p>
    <w:p>
      <w:pPr>
        <w:spacing w:after="0" w:line="18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40" w:right="1440" w:bottom="175"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 as we are a “smaller reporting company,” as defined in the Exchange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0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The independent registered public accounting firm’s report and consolidated financial statements listed below of this Annual Report are filed as part of this report.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Financial Statements of the Company</w:t>
      </w:r>
    </w:p>
    <w:p>
      <w:pPr>
        <w:spacing w:after="0" w:line="258" w:lineRule="exact"/>
        <w:rPr>
          <w:sz w:val="20"/>
          <w:szCs w:val="20"/>
          <w:color w:val="auto"/>
        </w:rPr>
      </w:pPr>
    </w:p>
    <w:p>
      <w:pPr>
        <w:ind w:left="660" w:right="2360"/>
        <w:spacing w:after="0" w:line="266" w:lineRule="auto"/>
        <w:rPr>
          <w:sz w:val="20"/>
          <w:szCs w:val="20"/>
          <w:color w:val="auto"/>
        </w:rPr>
      </w:pPr>
      <w:r>
        <w:rPr>
          <w:rFonts w:ascii="Times New Roman" w:cs="Times New Roman" w:eastAsia="Times New Roman" w:hAnsi="Times New Roman"/>
          <w:sz w:val="20"/>
          <w:szCs w:val="20"/>
          <w:color w:val="auto"/>
        </w:rPr>
        <w:t>Report of Independent Registered Public Accounting Firm (PCAOB ID: 34) Consolidated Balance Sheets as of December 29, 2023 and December 30, 2022</w:t>
      </w:r>
    </w:p>
    <w:p>
      <w:pPr>
        <w:ind w:left="660" w:right="260"/>
        <w:spacing w:after="0" w:line="247" w:lineRule="auto"/>
        <w:rPr>
          <w:sz w:val="20"/>
          <w:szCs w:val="20"/>
          <w:color w:val="auto"/>
        </w:rPr>
      </w:pPr>
      <w:r>
        <w:rPr>
          <w:rFonts w:ascii="Times New Roman" w:cs="Times New Roman" w:eastAsia="Times New Roman" w:hAnsi="Times New Roman"/>
          <w:sz w:val="20"/>
          <w:szCs w:val="20"/>
          <w:color w:val="auto"/>
        </w:rPr>
        <w:t>Consolidated Statements of Operations for the Fiscal Years Ended December 29, 2023 and December 30, 2022</w:t>
      </w:r>
    </w:p>
    <w:p>
      <w:pPr>
        <w:spacing w:after="0" w:line="1" w:lineRule="exact"/>
        <w:rPr>
          <w:sz w:val="20"/>
          <w:szCs w:val="20"/>
          <w:color w:val="auto"/>
        </w:rPr>
      </w:pPr>
    </w:p>
    <w:p>
      <w:pPr>
        <w:ind w:left="660" w:right="620"/>
        <w:spacing w:after="0" w:line="247" w:lineRule="auto"/>
        <w:rPr>
          <w:sz w:val="20"/>
          <w:szCs w:val="20"/>
          <w:color w:val="auto"/>
        </w:rPr>
      </w:pPr>
      <w:r>
        <w:rPr>
          <w:rFonts w:ascii="Times New Roman" w:cs="Times New Roman" w:eastAsia="Times New Roman" w:hAnsi="Times New Roman"/>
          <w:sz w:val="20"/>
          <w:szCs w:val="20"/>
          <w:color w:val="auto"/>
        </w:rPr>
        <w:t>Consolidated Statements of Stockholders’ Equity for the Fiscal Years Ended December 29, 2023 and December 30, 2022</w:t>
      </w:r>
    </w:p>
    <w:p>
      <w:pPr>
        <w:spacing w:after="0" w:line="1" w:lineRule="exact"/>
        <w:rPr>
          <w:sz w:val="20"/>
          <w:szCs w:val="20"/>
          <w:color w:val="auto"/>
        </w:rPr>
      </w:pPr>
    </w:p>
    <w:p>
      <w:pPr>
        <w:ind w:left="660" w:right="200"/>
        <w:spacing w:after="0" w:line="247" w:lineRule="auto"/>
        <w:rPr>
          <w:sz w:val="20"/>
          <w:szCs w:val="20"/>
          <w:color w:val="auto"/>
        </w:rPr>
      </w:pPr>
      <w:r>
        <w:rPr>
          <w:rFonts w:ascii="Times New Roman" w:cs="Times New Roman" w:eastAsia="Times New Roman" w:hAnsi="Times New Roman"/>
          <w:sz w:val="20"/>
          <w:szCs w:val="20"/>
          <w:color w:val="auto"/>
        </w:rPr>
        <w:t>Consolidated Statements of Cash Flows for the Fiscal Years Ended December 29, 2023 and December 30, 2022</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16" w:right="1440" w:bottom="175" w:gutter="0" w:footer="0" w:header="0"/>
          <w:type w:val="continuous"/>
        </w:sectPr>
      </w:pPr>
    </w:p>
    <w:bookmarkStart w:id="66" w:name="page67"/>
    <w:bookmarkEnd w:id="66"/>
    <w:p>
      <w:pPr>
        <w:ind w:left="12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Shimmick Corporation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Shimmick Corporation (the "Company") as of December 29, 2023 and December 30, 2022, the related consolidated statements of operations, stockholders’ equity, and cash flows, for each of the two fiscal years in the period ended December 29, 2023, and the related notes (collectively referred to as the "financial statements"). In our opinion, the financial statements present fairly, in all material respects, the financial position of the Company as of December 29, 2023 and December 30, 2022, and the results of its operations and its cash flows for each of the two fiscal years in the period ended December 29, 2023,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Denver, Colorado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28,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ectPr>
          <w:pgSz w:w="12240" w:h="15840" w:orient="portrait"/>
          <w:cols w:equalWidth="0" w:num="1">
            <w:col w:w="9360"/>
          </w:cols>
          <w:pgMar w:left="1440" w:top="142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26" w:right="1440" w:bottom="175"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Shimmick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29,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E9E9E9"/>
            </w:tcBorders>
          </w:tcPr>
          <w:p>
            <w:pPr>
              <w:spacing w:after="0"/>
              <w:rPr>
                <w:sz w:val="17"/>
                <w:szCs w:val="17"/>
                <w:color w:val="auto"/>
              </w:rPr>
            </w:pPr>
          </w:p>
        </w:tc>
        <w:tc>
          <w:tcPr>
            <w:tcW w:w="100" w:type="dxa"/>
            <w:vAlign w:val="bottom"/>
            <w:tcBorders>
              <w:bottom w:val="single" w:sz="8" w:color="E9E9E9"/>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E9E9E9"/>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4"/>
        </w:trPr>
        <w:tc>
          <w:tcPr>
            <w:tcW w:w="6080" w:type="dxa"/>
            <w:vAlign w:val="bottom"/>
            <w:shd w:val="clear" w:color="auto" w:fill="E9E9E9"/>
          </w:tcPr>
          <w:p>
            <w:pPr>
              <w:ind w:left="2720"/>
              <w:spacing w:after="0" w:line="174"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62,939</w:t>
            </w:r>
          </w:p>
        </w:tc>
        <w:tc>
          <w:tcPr>
            <w:tcW w:w="30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77,762</w:t>
            </w:r>
          </w:p>
        </w:tc>
        <w:tc>
          <w:tcPr>
            <w:tcW w:w="0" w:type="dxa"/>
            <w:vAlign w:val="bottom"/>
          </w:tcPr>
          <w:p>
            <w:pPr>
              <w:spacing w:after="0"/>
              <w:rPr>
                <w:sz w:val="1"/>
                <w:szCs w:val="1"/>
                <w:color w:val="auto"/>
              </w:rPr>
            </w:pPr>
          </w:p>
        </w:tc>
      </w:tr>
      <w:tr>
        <w:trPr>
          <w:trHeight w:val="184"/>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4,323</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54,178</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56,430</w:t>
            </w:r>
          </w:p>
        </w:tc>
        <w:tc>
          <w:tcPr>
            <w:tcW w:w="0" w:type="dxa"/>
            <w:vAlign w:val="bottom"/>
          </w:tcPr>
          <w:p>
            <w:pPr>
              <w:spacing w:after="0"/>
              <w:rPr>
                <w:sz w:val="1"/>
                <w:szCs w:val="1"/>
                <w:color w:val="auto"/>
              </w:rPr>
            </w:pPr>
          </w:p>
        </w:tc>
      </w:tr>
      <w:tr>
        <w:trPr>
          <w:trHeight w:val="184"/>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assets, current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125,943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80,901</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100" w:type="dxa"/>
            <w:vAlign w:val="bottom"/>
            <w:shd w:val="clear" w:color="auto" w:fill="E9E9E9"/>
          </w:tcPr>
          <w:p>
            <w:pPr>
              <w:spacing w:after="0"/>
              <w:rPr>
                <w:sz w:val="15"/>
                <w:szCs w:val="15"/>
                <w:color w:val="auto"/>
              </w:rPr>
            </w:pPr>
          </w:p>
        </w:tc>
        <w:tc>
          <w:tcPr>
            <w:tcW w:w="160" w:type="dxa"/>
            <w:vAlign w:val="bottom"/>
            <w:tcBorders>
              <w:bottom w:val="single" w:sz="8" w:color="auto"/>
            </w:tcBorders>
            <w:shd w:val="clear" w:color="auto" w:fill="E9E9E9"/>
          </w:tcPr>
          <w:p>
            <w:pPr>
              <w:spacing w:after="0"/>
              <w:rPr>
                <w:sz w:val="15"/>
                <w:szCs w:val="15"/>
                <w:color w:val="auto"/>
              </w:rPr>
            </w:pPr>
          </w:p>
        </w:tc>
        <w:tc>
          <w:tcPr>
            <w:tcW w:w="1360" w:type="dxa"/>
            <w:vAlign w:val="bottom"/>
            <w:tcBorders>
              <w:bottom w:val="single" w:sz="8" w:color="auto"/>
            </w:tcBorders>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13,427</w:t>
            </w:r>
          </w:p>
        </w:tc>
        <w:tc>
          <w:tcPr>
            <w:tcW w:w="140" w:type="dxa"/>
            <w:vAlign w:val="bottom"/>
            <w:shd w:val="clear" w:color="auto" w:fill="E9E9E9"/>
          </w:tcPr>
          <w:p>
            <w:pPr>
              <w:spacing w:after="0"/>
              <w:rPr>
                <w:sz w:val="15"/>
                <w:szCs w:val="15"/>
                <w:color w:val="auto"/>
              </w:rPr>
            </w:pPr>
          </w:p>
        </w:tc>
        <w:tc>
          <w:tcPr>
            <w:tcW w:w="160" w:type="dxa"/>
            <w:vAlign w:val="bottom"/>
            <w:tcBorders>
              <w:bottom w:val="single" w:sz="8" w:color="auto"/>
            </w:tcBorders>
            <w:shd w:val="clear" w:color="auto" w:fill="E9E9E9"/>
          </w:tcPr>
          <w:p>
            <w:pPr>
              <w:spacing w:after="0"/>
              <w:rPr>
                <w:sz w:val="15"/>
                <w:szCs w:val="15"/>
                <w:color w:val="auto"/>
              </w:rPr>
            </w:pPr>
          </w:p>
        </w:tc>
        <w:tc>
          <w:tcPr>
            <w:tcW w:w="1360" w:type="dxa"/>
            <w:vAlign w:val="bottom"/>
            <w:tcBorders>
              <w:bottom w:val="single" w:sz="8" w:color="auto"/>
            </w:tcBorders>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14,060</w:t>
            </w:r>
          </w:p>
        </w:tc>
        <w:tc>
          <w:tcPr>
            <w:tcW w:w="0" w:type="dxa"/>
            <w:vAlign w:val="bottom"/>
          </w:tcPr>
          <w:p>
            <w:pPr>
              <w:spacing w:after="0"/>
              <w:rPr>
                <w:sz w:val="1"/>
                <w:szCs w:val="1"/>
                <w:color w:val="auto"/>
              </w:rPr>
            </w:pPr>
          </w:p>
        </w:tc>
      </w:tr>
      <w:tr>
        <w:trPr>
          <w:trHeight w:val="37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257,458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233,476</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46,373</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55,208</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9,244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12,044</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Contract assets, non-current</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48,316</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84,024</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23,855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22,690</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Investment in unconsolidated joint ventures</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21,283</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17,363</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17,252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18,851</w:t>
            </w:r>
          </w:p>
        </w:tc>
        <w:tc>
          <w:tcPr>
            <w:tcW w:w="0" w:type="dxa"/>
            <w:vAlign w:val="bottom"/>
          </w:tcPr>
          <w:p>
            <w:pPr>
              <w:spacing w:after="0"/>
              <w:rPr>
                <w:sz w:val="1"/>
                <w:szCs w:val="1"/>
                <w:color w:val="auto"/>
              </w:rPr>
            </w:pPr>
          </w:p>
        </w:tc>
      </w:tr>
      <w:tr>
        <w:trPr>
          <w:trHeight w:val="204"/>
        </w:trPr>
        <w:tc>
          <w:tcPr>
            <w:tcW w:w="6080" w:type="dxa"/>
            <w:vAlign w:val="bottom"/>
            <w:tcBorders>
              <w:bottom w:val="single" w:sz="8" w:color="E9E9E9"/>
            </w:tcBorders>
            <w:shd w:val="clear" w:color="auto" w:fill="E9E9E9"/>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E9E9E9"/>
            </w:tcBorders>
            <w:shd w:val="clear" w:color="auto" w:fill="E9E9E9"/>
          </w:tcPr>
          <w:p>
            <w:pPr>
              <w:spacing w:after="0"/>
              <w:rPr>
                <w:sz w:val="17"/>
                <w:szCs w:val="17"/>
                <w:color w:val="auto"/>
              </w:rPr>
            </w:pPr>
          </w:p>
        </w:tc>
        <w:tc>
          <w:tcPr>
            <w:tcW w:w="160" w:type="dxa"/>
            <w:vAlign w:val="bottom"/>
            <w:tcBorders>
              <w:bottom w:val="single" w:sz="8" w:color="auto"/>
            </w:tcBorders>
            <w:shd w:val="clear" w:color="auto" w:fill="E9E9E9"/>
          </w:tcPr>
          <w:p>
            <w:pPr>
              <w:spacing w:after="0"/>
              <w:rPr>
                <w:sz w:val="17"/>
                <w:szCs w:val="17"/>
                <w:color w:val="auto"/>
              </w:rPr>
            </w:pPr>
          </w:p>
        </w:tc>
        <w:tc>
          <w:tcPr>
            <w:tcW w:w="1360" w:type="dxa"/>
            <w:vAlign w:val="bottom"/>
            <w:tcBorders>
              <w:bottom w:val="single" w:sz="8" w:color="auto"/>
            </w:tcBorders>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2,871</w:t>
            </w:r>
          </w:p>
        </w:tc>
        <w:tc>
          <w:tcPr>
            <w:tcW w:w="140" w:type="dxa"/>
            <w:vAlign w:val="bottom"/>
            <w:tcBorders>
              <w:bottom w:val="single" w:sz="8" w:color="E9E9E9"/>
            </w:tcBorders>
            <w:shd w:val="clear" w:color="auto" w:fill="E9E9E9"/>
          </w:tcPr>
          <w:p>
            <w:pPr>
              <w:spacing w:after="0"/>
              <w:rPr>
                <w:sz w:val="17"/>
                <w:szCs w:val="17"/>
                <w:color w:val="auto"/>
              </w:rPr>
            </w:pPr>
          </w:p>
        </w:tc>
        <w:tc>
          <w:tcPr>
            <w:tcW w:w="160" w:type="dxa"/>
            <w:vAlign w:val="bottom"/>
            <w:tcBorders>
              <w:bottom w:val="single" w:sz="8" w:color="auto"/>
            </w:tcBorders>
            <w:shd w:val="clear" w:color="auto" w:fill="E9E9E9"/>
          </w:tcPr>
          <w:p>
            <w:pPr>
              <w:spacing w:after="0"/>
              <w:rPr>
                <w:sz w:val="17"/>
                <w:szCs w:val="17"/>
                <w:color w:val="auto"/>
              </w:rPr>
            </w:pPr>
          </w:p>
        </w:tc>
        <w:tc>
          <w:tcPr>
            <w:tcW w:w="1360" w:type="dxa"/>
            <w:vAlign w:val="bottom"/>
            <w:tcBorders>
              <w:bottom w:val="single" w:sz="8" w:color="auto"/>
            </w:tcBorders>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3,143</w:t>
            </w:r>
          </w:p>
        </w:tc>
        <w:tc>
          <w:tcPr>
            <w:tcW w:w="0" w:type="dxa"/>
            <w:vAlign w:val="bottom"/>
          </w:tcPr>
          <w:p>
            <w:pPr>
              <w:spacing w:after="0"/>
              <w:rPr>
                <w:sz w:val="1"/>
                <w:szCs w:val="1"/>
                <w:color w:val="auto"/>
              </w:rPr>
            </w:pPr>
          </w:p>
        </w:tc>
      </w:tr>
      <w:tr>
        <w:trPr>
          <w:trHeight w:val="338"/>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426,652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446,799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ind w:left="1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81,589</w:t>
            </w:r>
          </w:p>
        </w:tc>
        <w:tc>
          <w:tcPr>
            <w:tcW w:w="30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67,541</w:t>
            </w:r>
          </w:p>
        </w:tc>
        <w:tc>
          <w:tcPr>
            <w:tcW w:w="0" w:type="dxa"/>
            <w:vAlign w:val="bottom"/>
          </w:tcPr>
          <w:p>
            <w:pPr>
              <w:spacing w:after="0"/>
              <w:rPr>
                <w:sz w:val="1"/>
                <w:szCs w:val="1"/>
                <w:color w:val="auto"/>
              </w:rPr>
            </w:pPr>
          </w:p>
        </w:tc>
      </w:tr>
      <w:tr>
        <w:trPr>
          <w:trHeight w:val="184"/>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115,785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163,725</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16"/>
                <w:szCs w:val="16"/>
                <w:color w:val="auto"/>
              </w:rPr>
              <w:t>Accrued salaries, wages and benefits</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26,911</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36,248</w:t>
            </w:r>
          </w:p>
        </w:tc>
        <w:tc>
          <w:tcPr>
            <w:tcW w:w="0" w:type="dxa"/>
            <w:vAlign w:val="bottom"/>
          </w:tcPr>
          <w:p>
            <w:pPr>
              <w:spacing w:after="0"/>
              <w:rPr>
                <w:sz w:val="1"/>
                <w:szCs w:val="1"/>
                <w:color w:val="auto"/>
              </w:rPr>
            </w:pPr>
          </w:p>
        </w:tc>
      </w:tr>
      <w:tr>
        <w:trPr>
          <w:trHeight w:val="184"/>
        </w:trPr>
        <w:tc>
          <w:tcPr>
            <w:tcW w:w="6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33,897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60,758</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E9E9E9"/>
          </w:tcPr>
          <w:p>
            <w:pPr>
              <w:spacing w:after="0"/>
              <w:rPr>
                <w:sz w:val="15"/>
                <w:szCs w:val="15"/>
                <w:color w:val="auto"/>
              </w:rPr>
            </w:pPr>
          </w:p>
        </w:tc>
        <w:tc>
          <w:tcPr>
            <w:tcW w:w="160" w:type="dxa"/>
            <w:vAlign w:val="bottom"/>
            <w:tcBorders>
              <w:bottom w:val="single" w:sz="8" w:color="auto"/>
            </w:tcBorders>
            <w:shd w:val="clear" w:color="auto" w:fill="E9E9E9"/>
          </w:tcPr>
          <w:p>
            <w:pPr>
              <w:spacing w:after="0"/>
              <w:rPr>
                <w:sz w:val="15"/>
                <w:szCs w:val="15"/>
                <w:color w:val="auto"/>
              </w:rPr>
            </w:pPr>
          </w:p>
        </w:tc>
        <w:tc>
          <w:tcPr>
            <w:tcW w:w="1360" w:type="dxa"/>
            <w:vAlign w:val="bottom"/>
            <w:tcBorders>
              <w:bottom w:val="single" w:sz="8" w:color="auto"/>
            </w:tcBorders>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13,071</w:t>
            </w:r>
          </w:p>
        </w:tc>
        <w:tc>
          <w:tcPr>
            <w:tcW w:w="140" w:type="dxa"/>
            <w:vAlign w:val="bottom"/>
            <w:shd w:val="clear" w:color="auto" w:fill="E9E9E9"/>
          </w:tcPr>
          <w:p>
            <w:pPr>
              <w:spacing w:after="0"/>
              <w:rPr>
                <w:sz w:val="15"/>
                <w:szCs w:val="15"/>
                <w:color w:val="auto"/>
              </w:rPr>
            </w:pPr>
          </w:p>
        </w:tc>
        <w:tc>
          <w:tcPr>
            <w:tcW w:w="160" w:type="dxa"/>
            <w:vAlign w:val="bottom"/>
            <w:tcBorders>
              <w:bottom w:val="single" w:sz="8" w:color="auto"/>
            </w:tcBorders>
            <w:shd w:val="clear" w:color="auto" w:fill="E9E9E9"/>
          </w:tcPr>
          <w:p>
            <w:pPr>
              <w:spacing w:after="0"/>
              <w:rPr>
                <w:sz w:val="15"/>
                <w:szCs w:val="15"/>
                <w:color w:val="auto"/>
              </w:rPr>
            </w:pPr>
          </w:p>
        </w:tc>
        <w:tc>
          <w:tcPr>
            <w:tcW w:w="1360" w:type="dxa"/>
            <w:vAlign w:val="bottom"/>
            <w:tcBorders>
              <w:bottom w:val="single" w:sz="8" w:color="auto"/>
            </w:tcBorders>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12,672</w:t>
            </w:r>
          </w:p>
        </w:tc>
        <w:tc>
          <w:tcPr>
            <w:tcW w:w="0" w:type="dxa"/>
            <w:vAlign w:val="bottom"/>
          </w:tcPr>
          <w:p>
            <w:pPr>
              <w:spacing w:after="0"/>
              <w:rPr>
                <w:sz w:val="1"/>
                <w:szCs w:val="1"/>
                <w:color w:val="auto"/>
              </w:rPr>
            </w:pPr>
          </w:p>
        </w:tc>
      </w:tr>
      <w:tr>
        <w:trPr>
          <w:trHeight w:val="37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271,253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340,944</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29,627</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15,045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14,442</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Contract liabilities, non-current</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3,215</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1,846</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15,488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15,662</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17,252</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18,851</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4,282</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3,459</w:t>
            </w: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356,162</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395,204</w:t>
            </w:r>
          </w:p>
        </w:tc>
        <w:tc>
          <w:tcPr>
            <w:tcW w:w="0" w:type="dxa"/>
            <w:vAlign w:val="bottom"/>
          </w:tcPr>
          <w:p>
            <w:pPr>
              <w:spacing w:after="0"/>
              <w:rPr>
                <w:sz w:val="1"/>
                <w:szCs w:val="1"/>
                <w:color w:val="auto"/>
              </w:rPr>
            </w:pPr>
          </w:p>
        </w:tc>
      </w:tr>
      <w:tr>
        <w:trPr>
          <w:trHeight w:val="381"/>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spacing w:after="0"/>
              <w:rPr>
                <w:sz w:val="15"/>
                <w:szCs w:val="15"/>
                <w:color w:val="auto"/>
              </w:rPr>
            </w:pP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Common stock, $0.01 par value, 100,000,000 shares authorized as of December 29, 2023 and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December 30, 2022; 25,493,877 and 21,908,800 shares issued and outstanding as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99"/>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December 29, 2023 and December 30, 2022, respectively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0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24,445</w:t>
            </w:r>
          </w:p>
        </w:tc>
        <w:tc>
          <w:tcPr>
            <w:tcW w:w="140" w:type="dxa"/>
            <w:vAlign w:val="bottom"/>
            <w:shd w:val="clear" w:color="auto" w:fill="E9E9E9"/>
          </w:tcPr>
          <w:p>
            <w:pPr>
              <w:spacing w:after="0"/>
              <w:rPr>
                <w:sz w:val="15"/>
                <w:szCs w:val="15"/>
                <w:color w:val="auto"/>
              </w:rPr>
            </w:pPr>
          </w:p>
        </w:tc>
        <w:tc>
          <w:tcPr>
            <w:tcW w:w="160" w:type="dxa"/>
            <w:vAlign w:val="bottom"/>
            <w:shd w:val="clear" w:color="auto" w:fill="E9E9E9"/>
          </w:tcPr>
          <w:p>
            <w:pPr>
              <w:spacing w:after="0"/>
              <w:rPr>
                <w:sz w:val="15"/>
                <w:szCs w:val="15"/>
                <w:color w:val="auto"/>
              </w:rPr>
            </w:pP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3,341</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46,537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49,083</w:t>
            </w: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E9E9E9"/>
          </w:tcPr>
          <w:p>
            <w:pPr>
              <w:spacing w:after="0"/>
              <w:rPr>
                <w:sz w:val="15"/>
                <w:szCs w:val="15"/>
                <w:color w:val="auto"/>
              </w:rPr>
            </w:pPr>
          </w:p>
        </w:tc>
        <w:tc>
          <w:tcPr>
            <w:tcW w:w="160" w:type="dxa"/>
            <w:vAlign w:val="bottom"/>
            <w:tcBorders>
              <w:bottom w:val="single" w:sz="8" w:color="auto"/>
            </w:tcBorders>
            <w:shd w:val="clear" w:color="auto" w:fill="E9E9E9"/>
          </w:tcPr>
          <w:p>
            <w:pPr>
              <w:spacing w:after="0"/>
              <w:rPr>
                <w:sz w:val="15"/>
                <w:szCs w:val="15"/>
                <w:color w:val="auto"/>
              </w:rPr>
            </w:pPr>
          </w:p>
        </w:tc>
        <w:tc>
          <w:tcPr>
            <w:tcW w:w="13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40" w:type="dxa"/>
            <w:vAlign w:val="bottom"/>
            <w:shd w:val="clear" w:color="auto" w:fill="E9E9E9"/>
          </w:tcPr>
          <w:p>
            <w:pPr>
              <w:spacing w:after="0"/>
              <w:rPr>
                <w:sz w:val="15"/>
                <w:szCs w:val="15"/>
                <w:color w:val="auto"/>
              </w:rPr>
            </w:pPr>
          </w:p>
        </w:tc>
        <w:tc>
          <w:tcPr>
            <w:tcW w:w="160" w:type="dxa"/>
            <w:vAlign w:val="bottom"/>
            <w:tcBorders>
              <w:bottom w:val="single" w:sz="8" w:color="auto"/>
            </w:tcBorders>
            <w:shd w:val="clear" w:color="auto" w:fill="E9E9E9"/>
          </w:tcPr>
          <w:p>
            <w:pPr>
              <w:spacing w:after="0"/>
              <w:rPr>
                <w:sz w:val="15"/>
                <w:szCs w:val="15"/>
                <w:color w:val="auto"/>
              </w:rPr>
            </w:pPr>
          </w:p>
        </w:tc>
        <w:tc>
          <w:tcPr>
            <w:tcW w:w="13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70,490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51,595</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E9E9E9"/>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426,652</w:t>
            </w:r>
          </w:p>
        </w:tc>
        <w:tc>
          <w:tcPr>
            <w:tcW w:w="30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E9E9E9"/>
          </w:tcPr>
          <w:p>
            <w:pPr>
              <w:jc w:val="right"/>
              <w:ind w:right="20"/>
              <w:spacing w:after="0"/>
              <w:rPr>
                <w:sz w:val="20"/>
                <w:szCs w:val="20"/>
                <w:color w:val="auto"/>
              </w:rPr>
            </w:pPr>
            <w:r>
              <w:rPr>
                <w:rFonts w:ascii="Times New Roman" w:cs="Times New Roman" w:eastAsia="Times New Roman" w:hAnsi="Times New Roman"/>
                <w:sz w:val="16"/>
                <w:szCs w:val="16"/>
                <w:color w:val="auto"/>
              </w:rPr>
              <w:t>446,799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16" w:right="1440" w:bottom="175"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Shimmick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0" w:type="dxa"/>
            <w:vAlign w:val="bottom"/>
          </w:tcPr>
          <w:p>
            <w:pPr>
              <w:spacing w:after="0"/>
              <w:rPr>
                <w:sz w:val="1"/>
                <w:szCs w:val="1"/>
                <w:color w:val="auto"/>
              </w:rPr>
            </w:pPr>
          </w:p>
        </w:tc>
      </w:tr>
      <w:tr>
        <w:trPr>
          <w:trHeight w:val="197"/>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60"/>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120" w:type="dxa"/>
            <w:vAlign w:val="bottom"/>
          </w:tcPr>
          <w:p>
            <w:pPr>
              <w:spacing w:after="0"/>
              <w:rPr>
                <w:sz w:val="17"/>
                <w:szCs w:val="17"/>
                <w:color w:val="auto"/>
              </w:rPr>
            </w:pPr>
          </w:p>
        </w:tc>
        <w:tc>
          <w:tcPr>
            <w:tcW w:w="1440" w:type="dxa"/>
            <w:vAlign w:val="bottom"/>
            <w:gridSpan w:val="2"/>
          </w:tcPr>
          <w:p>
            <w:pPr>
              <w:jc w:val="right"/>
              <w:ind w:right="80"/>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0" w:type="dxa"/>
            <w:vAlign w:val="bottom"/>
          </w:tcPr>
          <w:p>
            <w:pPr>
              <w:spacing w:after="0"/>
              <w:rPr>
                <w:sz w:val="1"/>
                <w:szCs w:val="1"/>
                <w:color w:val="auto"/>
              </w:rPr>
            </w:pPr>
          </w:p>
        </w:tc>
      </w:tr>
      <w:tr>
        <w:trPr>
          <w:trHeight w:val="253"/>
        </w:trPr>
        <w:tc>
          <w:tcPr>
            <w:tcW w:w="620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20"/>
        </w:trPr>
        <w:tc>
          <w:tcPr>
            <w:tcW w:w="62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632,806</w:t>
            </w:r>
          </w:p>
        </w:tc>
        <w:tc>
          <w:tcPr>
            <w:tcW w:w="120" w:type="dxa"/>
            <w:vAlign w:val="bottom"/>
            <w:shd w:val="clear" w:color="auto" w:fill="E9E9E9"/>
          </w:tcPr>
          <w:p>
            <w:pPr>
              <w:spacing w:after="0"/>
              <w:rPr>
                <w:sz w:val="19"/>
                <w:szCs w:val="19"/>
                <w:color w:val="auto"/>
              </w:rPr>
            </w:pPr>
          </w:p>
        </w:tc>
        <w:tc>
          <w:tcPr>
            <w:tcW w:w="280" w:type="dxa"/>
            <w:vAlign w:val="bottom"/>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664,158</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610,434</w:t>
            </w:r>
          </w:p>
        </w:tc>
        <w:tc>
          <w:tcPr>
            <w:tcW w:w="12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640,643</w:t>
            </w:r>
          </w:p>
        </w:tc>
        <w:tc>
          <w:tcPr>
            <w:tcW w:w="0" w:type="dxa"/>
            <w:vAlign w:val="bottom"/>
          </w:tcPr>
          <w:p>
            <w:pPr>
              <w:spacing w:after="0"/>
              <w:rPr>
                <w:sz w:val="1"/>
                <w:szCs w:val="1"/>
                <w:color w:val="auto"/>
              </w:rPr>
            </w:pPr>
          </w:p>
        </w:tc>
      </w:tr>
      <w:tr>
        <w:trPr>
          <w:trHeight w:val="220"/>
        </w:trPr>
        <w:tc>
          <w:tcPr>
            <w:tcW w:w="62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Gross margin</w:t>
            </w: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22,372</w:t>
            </w:r>
          </w:p>
        </w:tc>
        <w:tc>
          <w:tcPr>
            <w:tcW w:w="1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23,515</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60,442</w:t>
            </w:r>
          </w:p>
        </w:tc>
        <w:tc>
          <w:tcPr>
            <w:tcW w:w="0" w:type="dxa"/>
            <w:vAlign w:val="bottom"/>
          </w:tcPr>
          <w:p>
            <w:pPr>
              <w:spacing w:after="0"/>
              <w:rPr>
                <w:sz w:val="1"/>
                <w:szCs w:val="1"/>
                <w:color w:val="auto"/>
              </w:rPr>
            </w:pPr>
          </w:p>
        </w:tc>
      </w:tr>
      <w:tr>
        <w:trPr>
          <w:trHeight w:val="230"/>
        </w:trPr>
        <w:tc>
          <w:tcPr>
            <w:tcW w:w="62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Amortization of intangibles</w:t>
            </w: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4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2,618</w:t>
            </w:r>
          </w:p>
        </w:tc>
        <w:tc>
          <w:tcPr>
            <w:tcW w:w="12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spacing w:after="0"/>
              <w:rPr>
                <w:sz w:val="19"/>
                <w:szCs w:val="19"/>
                <w:color w:val="auto"/>
              </w:rPr>
            </w:pPr>
          </w:p>
        </w:tc>
        <w:tc>
          <w:tcPr>
            <w:tcW w:w="1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0" w:type="dxa"/>
            <w:vAlign w:val="bottom"/>
          </w:tcPr>
          <w:p>
            <w:pPr>
              <w:spacing w:after="0"/>
              <w:rPr>
                <w:sz w:val="1"/>
                <w:szCs w:val="1"/>
                <w:color w:val="auto"/>
              </w:rPr>
            </w:pPr>
          </w:p>
        </w:tc>
      </w:tr>
      <w:tr>
        <w:trPr>
          <w:trHeight w:val="220"/>
        </w:trPr>
        <w:tc>
          <w:tcPr>
            <w:tcW w:w="62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64,125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63,074</w:t>
            </w:r>
          </w:p>
        </w:tc>
        <w:tc>
          <w:tcPr>
            <w:tcW w:w="0" w:type="dxa"/>
            <w:vAlign w:val="bottom"/>
          </w:tcPr>
          <w:p>
            <w:pPr>
              <w:spacing w:after="0"/>
              <w:rPr>
                <w:sz w:val="1"/>
                <w:szCs w:val="1"/>
                <w:color w:val="auto"/>
              </w:rPr>
            </w:pPr>
          </w:p>
        </w:tc>
      </w:tr>
      <w:tr>
        <w:trPr>
          <w:trHeight w:val="230"/>
        </w:trPr>
        <w:tc>
          <w:tcPr>
            <w:tcW w:w="62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Equity in earnings of unconsolidated joint ventures</w:t>
            </w: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1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52,471</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Gain on sale of assets</w:t>
            </w:r>
          </w:p>
        </w:tc>
        <w:tc>
          <w:tcPr>
            <w:tcW w:w="2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31,834</w:t>
            </w:r>
          </w:p>
        </w:tc>
        <w:tc>
          <w:tcPr>
            <w:tcW w:w="12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2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435</w:t>
            </w:r>
          </w:p>
        </w:tc>
        <w:tc>
          <w:tcPr>
            <w:tcW w:w="1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12,912</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2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2,721</w:t>
            </w:r>
          </w:p>
        </w:tc>
        <w:tc>
          <w:tcPr>
            <w:tcW w:w="12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8,731</w:t>
            </w:r>
          </w:p>
        </w:tc>
        <w:tc>
          <w:tcPr>
            <w:tcW w:w="0" w:type="dxa"/>
            <w:vAlign w:val="bottom"/>
          </w:tcPr>
          <w:p>
            <w:pPr>
              <w:spacing w:after="0"/>
              <w:rPr>
                <w:sz w:val="1"/>
                <w:szCs w:val="1"/>
                <w:color w:val="auto"/>
              </w:rPr>
            </w:pPr>
          </w:p>
        </w:tc>
      </w:tr>
      <w:tr>
        <w:trPr>
          <w:trHeight w:val="220"/>
        </w:trPr>
        <w:tc>
          <w:tcPr>
            <w:tcW w:w="62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(loss) income before income tax</w:t>
            </w: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(2,286)</w:t>
            </w:r>
          </w:p>
        </w:tc>
        <w:tc>
          <w:tcPr>
            <w:tcW w:w="12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4,181</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40"/>
        </w:trPr>
        <w:tc>
          <w:tcPr>
            <w:tcW w:w="6200" w:type="dxa"/>
            <w:vAlign w:val="bottom"/>
            <w:tcBorders>
              <w:bottom w:val="single" w:sz="8" w:color="E9E9E9"/>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(loss) income</w:t>
            </w:r>
          </w:p>
        </w:tc>
        <w:tc>
          <w:tcPr>
            <w:tcW w:w="20" w:type="dxa"/>
            <w:vAlign w:val="bottom"/>
            <w:tcBorders>
              <w:bottom w:val="single" w:sz="8" w:color="E9E9E9"/>
            </w:tcBorders>
            <w:shd w:val="clear" w:color="auto" w:fill="E9E9E9"/>
          </w:tcPr>
          <w:p>
            <w:pPr>
              <w:spacing w:after="0"/>
              <w:rPr>
                <w:sz w:val="20"/>
                <w:szCs w:val="20"/>
                <w:color w:val="auto"/>
              </w:rPr>
            </w:pPr>
          </w:p>
        </w:tc>
        <w:tc>
          <w:tcPr>
            <w:tcW w:w="120" w:type="dxa"/>
            <w:vAlign w:val="bottom"/>
            <w:tcBorders>
              <w:bottom w:val="single" w:sz="8" w:color="auto"/>
            </w:tcBorders>
            <w:shd w:val="clear" w:color="auto" w:fill="E9E9E9"/>
          </w:tcPr>
          <w:p>
            <w:pPr>
              <w:spacing w:after="0"/>
              <w:rPr>
                <w:sz w:val="20"/>
                <w:szCs w:val="20"/>
                <w:color w:val="auto"/>
              </w:rPr>
            </w:pPr>
          </w:p>
        </w:tc>
        <w:tc>
          <w:tcPr>
            <w:tcW w:w="14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(2,286)</w:t>
            </w:r>
          </w:p>
        </w:tc>
        <w:tc>
          <w:tcPr>
            <w:tcW w:w="120" w:type="dxa"/>
            <w:vAlign w:val="bottom"/>
            <w:tcBorders>
              <w:bottom w:val="single" w:sz="8" w:color="E9E9E9"/>
            </w:tcBorders>
            <w:shd w:val="clear" w:color="auto" w:fill="E9E9E9"/>
          </w:tcPr>
          <w:p>
            <w:pPr>
              <w:spacing w:after="0"/>
              <w:rPr>
                <w:sz w:val="20"/>
                <w:szCs w:val="20"/>
                <w:color w:val="auto"/>
              </w:rPr>
            </w:pPr>
          </w:p>
        </w:tc>
        <w:tc>
          <w:tcPr>
            <w:tcW w:w="280" w:type="dxa"/>
            <w:vAlign w:val="bottom"/>
            <w:tcBorders>
              <w:bottom w:val="single" w:sz="8" w:color="auto"/>
            </w:tcBorders>
            <w:shd w:val="clear" w:color="auto" w:fill="E9E9E9"/>
          </w:tcPr>
          <w:p>
            <w:pPr>
              <w:spacing w:after="0"/>
              <w:rPr>
                <w:sz w:val="20"/>
                <w:szCs w:val="20"/>
                <w:color w:val="auto"/>
              </w:rPr>
            </w:pPr>
          </w:p>
        </w:tc>
        <w:tc>
          <w:tcPr>
            <w:tcW w:w="11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2,907</w:t>
            </w:r>
          </w:p>
        </w:tc>
        <w:tc>
          <w:tcPr>
            <w:tcW w:w="0" w:type="dxa"/>
            <w:vAlign w:val="bottom"/>
          </w:tcPr>
          <w:p>
            <w:pPr>
              <w:spacing w:after="0"/>
              <w:rPr>
                <w:sz w:val="1"/>
                <w:szCs w:val="1"/>
                <w:color w:val="auto"/>
              </w:rPr>
            </w:pPr>
          </w:p>
        </w:tc>
      </w:tr>
      <w:tr>
        <w:trPr>
          <w:trHeight w:val="200"/>
        </w:trPr>
        <w:tc>
          <w:tcPr>
            <w:tcW w:w="6200" w:type="dxa"/>
            <w:vAlign w:val="bottom"/>
            <w:tcBorders>
              <w:bottom w:val="single" w:sz="8" w:color="E9E9E9"/>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w:t>
            </w:r>
          </w:p>
        </w:tc>
        <w:tc>
          <w:tcPr>
            <w:tcW w:w="20" w:type="dxa"/>
            <w:vAlign w:val="bottom"/>
            <w:tcBorders>
              <w:bottom w:val="single" w:sz="8" w:color="E9E9E9"/>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260</w:t>
            </w:r>
          </w:p>
        </w:tc>
        <w:tc>
          <w:tcPr>
            <w:tcW w:w="120" w:type="dxa"/>
            <w:vAlign w:val="bottom"/>
            <w:tcBorders>
              <w:bottom w:val="single" w:sz="8" w:color="E9E9E9"/>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(853)</w:t>
            </w:r>
          </w:p>
        </w:tc>
        <w:tc>
          <w:tcPr>
            <w:tcW w:w="0" w:type="dxa"/>
            <w:vAlign w:val="bottom"/>
          </w:tcPr>
          <w:p>
            <w:pPr>
              <w:spacing w:after="0"/>
              <w:rPr>
                <w:sz w:val="1"/>
                <w:szCs w:val="1"/>
                <w:color w:val="auto"/>
              </w:rPr>
            </w:pPr>
          </w:p>
        </w:tc>
      </w:tr>
      <w:tr>
        <w:trPr>
          <w:trHeight w:val="220"/>
        </w:trPr>
        <w:tc>
          <w:tcPr>
            <w:tcW w:w="62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(loss) income attributable to Shimmick Corporation</w:t>
            </w: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(2,546)</w:t>
            </w:r>
          </w:p>
        </w:tc>
        <w:tc>
          <w:tcPr>
            <w:tcW w:w="12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3,760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(loss) income attributable to Shimmick Corporation per common</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b w:val="1"/>
                <w:bCs w:val="1"/>
                <w:color w:val="auto"/>
              </w:rPr>
              <w:t>Basic</w:t>
            </w:r>
          </w:p>
        </w:tc>
        <w:tc>
          <w:tcPr>
            <w:tcW w:w="1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0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2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(0.11)</w:t>
            </w:r>
          </w:p>
        </w:tc>
        <w:tc>
          <w:tcPr>
            <w:tcW w:w="12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0.17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16" w:right="1440" w:bottom="175"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Shimmick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7"/>
        </w:trPr>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197"/>
        </w:trPr>
        <w:tc>
          <w:tcPr>
            <w:tcW w:w="2400" w:type="dxa"/>
            <w:vAlign w:val="bottom"/>
            <w:tcBorders>
              <w:bottom w:val="single" w:sz="8" w:color="E9E9E9"/>
            </w:tcBorders>
          </w:tcPr>
          <w:p>
            <w:pPr>
              <w:spacing w:after="0"/>
              <w:rPr>
                <w:sz w:val="17"/>
                <w:szCs w:val="17"/>
                <w:color w:val="auto"/>
              </w:rPr>
            </w:pPr>
          </w:p>
        </w:tc>
        <w:tc>
          <w:tcPr>
            <w:tcW w:w="20" w:type="dxa"/>
            <w:vAlign w:val="bottom"/>
            <w:tcBorders>
              <w:bottom w:val="single" w:sz="8" w:color="E9E9E9"/>
            </w:tcBorders>
          </w:tcPr>
          <w:p>
            <w:pPr>
              <w:spacing w:after="0"/>
              <w:rPr>
                <w:sz w:val="17"/>
                <w:szCs w:val="17"/>
                <w:color w:val="auto"/>
              </w:rPr>
            </w:pPr>
          </w:p>
        </w:tc>
        <w:tc>
          <w:tcPr>
            <w:tcW w:w="1060" w:type="dxa"/>
            <w:vAlign w:val="bottom"/>
            <w:tcBorders>
              <w:bottom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0"/>
              <w:spacing w:after="0" w:line="197"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E9E9E9"/>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0"/>
              <w:spacing w:after="0" w:line="197"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0"/>
              <w:spacing w:after="0" w:line="197"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0"/>
              <w:spacing w:after="0" w:line="197" w:lineRule="exact"/>
              <w:rPr>
                <w:sz w:val="20"/>
                <w:szCs w:val="20"/>
                <w:color w:val="auto"/>
              </w:rPr>
            </w:pPr>
            <w:r>
              <w:rPr>
                <w:rFonts w:ascii="Times New Roman" w:cs="Times New Roman" w:eastAsia="Times New Roman" w:hAnsi="Times New Roman"/>
                <w:sz w:val="18"/>
                <w:szCs w:val="18"/>
                <w:b w:val="1"/>
                <w:bCs w:val="1"/>
                <w:color w:val="auto"/>
              </w:rPr>
              <w:t>Interests</w:t>
            </w:r>
          </w:p>
        </w:tc>
        <w:tc>
          <w:tcPr>
            <w:tcW w:w="120" w:type="dxa"/>
            <w:vAlign w:val="bottom"/>
            <w:tcBorders>
              <w:bottom w:val="single" w:sz="8" w:color="E9E9E9"/>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0"/>
              <w:spacing w:after="0" w:line="197"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79"/>
        </w:trPr>
        <w:tc>
          <w:tcPr>
            <w:tcW w:w="2420" w:type="dxa"/>
            <w:vAlign w:val="bottom"/>
            <w:gridSpan w:val="2"/>
            <w:shd w:val="clear" w:color="auto" w:fill="E9E9E9"/>
          </w:tcPr>
          <w:p>
            <w:pPr>
              <w:spacing w:after="0" w:line="179" w:lineRule="exact"/>
              <w:rPr>
                <w:sz w:val="20"/>
                <w:szCs w:val="20"/>
                <w:color w:val="auto"/>
              </w:rPr>
            </w:pPr>
            <w:r>
              <w:rPr>
                <w:rFonts w:ascii="Times New Roman" w:cs="Times New Roman" w:eastAsia="Times New Roman" w:hAnsi="Times New Roman"/>
                <w:sz w:val="18"/>
                <w:szCs w:val="18"/>
                <w:color w:val="auto"/>
              </w:rPr>
              <w:t>Balance as of December 31,</w:t>
            </w:r>
          </w:p>
        </w:tc>
        <w:tc>
          <w:tcPr>
            <w:tcW w:w="1060" w:type="dxa"/>
            <w:vAlign w:val="bottom"/>
            <w:vMerge w:val="restart"/>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21,908,800</w:t>
            </w:r>
          </w:p>
        </w:tc>
        <w:tc>
          <w:tcPr>
            <w:tcW w:w="100" w:type="dxa"/>
            <w:vAlign w:val="bottom"/>
            <w:shd w:val="clear" w:color="auto" w:fill="E9E9E9"/>
          </w:tcPr>
          <w:p>
            <w:pPr>
              <w:spacing w:after="0"/>
              <w:rPr>
                <w:sz w:val="15"/>
                <w:szCs w:val="15"/>
                <w:color w:val="auto"/>
              </w:rPr>
            </w:pPr>
          </w:p>
        </w:tc>
        <w:tc>
          <w:tcPr>
            <w:tcW w:w="1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1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E9E9E9"/>
          </w:tcPr>
          <w:p>
            <w:pPr>
              <w:spacing w:after="0"/>
              <w:rPr>
                <w:sz w:val="15"/>
                <w:szCs w:val="15"/>
                <w:color w:val="auto"/>
              </w:rPr>
            </w:pPr>
          </w:p>
        </w:tc>
        <w:tc>
          <w:tcPr>
            <w:tcW w:w="1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45,323</w:t>
            </w:r>
          </w:p>
        </w:tc>
        <w:tc>
          <w:tcPr>
            <w:tcW w:w="120" w:type="dxa"/>
            <w:vAlign w:val="bottom"/>
            <w:shd w:val="clear" w:color="auto" w:fill="E9E9E9"/>
          </w:tcPr>
          <w:p>
            <w:pPr>
              <w:spacing w:after="0"/>
              <w:rPr>
                <w:sz w:val="15"/>
                <w:szCs w:val="15"/>
                <w:color w:val="auto"/>
              </w:rPr>
            </w:pPr>
          </w:p>
        </w:tc>
        <w:tc>
          <w:tcPr>
            <w:tcW w:w="100" w:type="dxa"/>
            <w:vAlign w:val="bottom"/>
            <w:vMerge w:val="restart"/>
            <w:shd w:val="clear" w:color="auto" w:fill="E9E9E9"/>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E9E9E9"/>
          </w:tcPr>
          <w:p>
            <w:pPr>
              <w:spacing w:after="0"/>
              <w:rPr>
                <w:sz w:val="15"/>
                <w:szCs w:val="15"/>
                <w:color w:val="auto"/>
              </w:rPr>
            </w:pPr>
          </w:p>
        </w:tc>
        <w:tc>
          <w:tcPr>
            <w:tcW w:w="200" w:type="dxa"/>
            <w:vAlign w:val="bottom"/>
            <w:vMerge w:val="restart"/>
            <w:shd w:val="clear" w:color="auto" w:fill="E9E9E9"/>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47,021</w:t>
            </w:r>
          </w:p>
        </w:tc>
        <w:tc>
          <w:tcPr>
            <w:tcW w:w="0" w:type="dxa"/>
            <w:vAlign w:val="bottom"/>
          </w:tcPr>
          <w:p>
            <w:pPr>
              <w:spacing w:after="0"/>
              <w:rPr>
                <w:sz w:val="1"/>
                <w:szCs w:val="1"/>
                <w:color w:val="auto"/>
              </w:rPr>
            </w:pPr>
          </w:p>
        </w:tc>
      </w:tr>
      <w:tr>
        <w:trPr>
          <w:trHeight w:val="225"/>
        </w:trPr>
        <w:tc>
          <w:tcPr>
            <w:tcW w:w="2400" w:type="dxa"/>
            <w:vAlign w:val="bottom"/>
            <w:shd w:val="clear" w:color="auto" w:fill="E9E9E9"/>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E9E9E9"/>
          </w:tcPr>
          <w:p>
            <w:pPr>
              <w:spacing w:after="0"/>
              <w:rPr>
                <w:sz w:val="19"/>
                <w:szCs w:val="19"/>
                <w:color w:val="auto"/>
              </w:rPr>
            </w:pPr>
          </w:p>
        </w:tc>
        <w:tc>
          <w:tcPr>
            <w:tcW w:w="1060" w:type="dxa"/>
            <w:vAlign w:val="bottom"/>
            <w:vMerge w:val="continue"/>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00" w:type="dxa"/>
            <w:vAlign w:val="bottom"/>
            <w:vMerge w:val="continue"/>
            <w:shd w:val="clear" w:color="auto" w:fill="E9E9E9"/>
          </w:tcPr>
          <w:p>
            <w:pPr>
              <w:spacing w:after="0"/>
              <w:rPr>
                <w:sz w:val="19"/>
                <w:szCs w:val="19"/>
                <w:color w:val="auto"/>
              </w:rPr>
            </w:pPr>
          </w:p>
        </w:tc>
        <w:tc>
          <w:tcPr>
            <w:tcW w:w="840" w:type="dxa"/>
            <w:vAlign w:val="bottom"/>
            <w:vMerge w:val="continue"/>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vMerge w:val="continue"/>
            <w:shd w:val="clear" w:color="auto" w:fill="E9E9E9"/>
          </w:tcPr>
          <w:p>
            <w:pPr>
              <w:spacing w:after="0"/>
              <w:rPr>
                <w:sz w:val="19"/>
                <w:szCs w:val="19"/>
                <w:color w:val="auto"/>
              </w:rPr>
            </w:pPr>
          </w:p>
        </w:tc>
        <w:tc>
          <w:tcPr>
            <w:tcW w:w="900" w:type="dxa"/>
            <w:vAlign w:val="bottom"/>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vMerge w:val="continue"/>
            <w:shd w:val="clear" w:color="auto" w:fill="E9E9E9"/>
          </w:tcPr>
          <w:p>
            <w:pPr>
              <w:spacing w:after="0"/>
              <w:rPr>
                <w:sz w:val="19"/>
                <w:szCs w:val="19"/>
                <w:color w:val="auto"/>
              </w:rPr>
            </w:pPr>
          </w:p>
        </w:tc>
        <w:tc>
          <w:tcPr>
            <w:tcW w:w="920" w:type="dxa"/>
            <w:vAlign w:val="bottom"/>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vMerge w:val="continue"/>
            <w:shd w:val="clear" w:color="auto" w:fill="E9E9E9"/>
          </w:tcPr>
          <w:p>
            <w:pPr>
              <w:spacing w:after="0"/>
              <w:rPr>
                <w:sz w:val="19"/>
                <w:szCs w:val="19"/>
                <w:color w:val="auto"/>
              </w:rPr>
            </w:pPr>
          </w:p>
        </w:tc>
        <w:tc>
          <w:tcPr>
            <w:tcW w:w="920" w:type="dxa"/>
            <w:vAlign w:val="bottom"/>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0" w:type="dxa"/>
            <w:vAlign w:val="bottom"/>
            <w:vMerge w:val="continue"/>
            <w:shd w:val="clear" w:color="auto" w:fill="E9E9E9"/>
          </w:tcPr>
          <w:p>
            <w:pPr>
              <w:spacing w:after="0"/>
              <w:rPr>
                <w:sz w:val="19"/>
                <w:szCs w:val="19"/>
                <w:color w:val="auto"/>
              </w:rPr>
            </w:pPr>
          </w:p>
        </w:tc>
        <w:tc>
          <w:tcPr>
            <w:tcW w:w="1020" w:type="dxa"/>
            <w:vAlign w:val="bottom"/>
            <w:vMerge w:val="continue"/>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9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9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1020" w:type="dxa"/>
            <w:vAlign w:val="bottom"/>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Distributions to non-controlling</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w:t>
            </w: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400" w:type="dxa"/>
            <w:vAlign w:val="bottom"/>
            <w:tcBorders>
              <w:top w:val="single" w:sz="8" w:color="E9E9E9"/>
            </w:tcBorders>
            <w:shd w:val="clear" w:color="auto" w:fill="E9E9E9"/>
          </w:tcPr>
          <w:p>
            <w:pPr>
              <w:spacing w:after="0" w:line="179" w:lineRule="exact"/>
              <w:rPr>
                <w:sz w:val="20"/>
                <w:szCs w:val="20"/>
                <w:color w:val="auto"/>
              </w:rPr>
            </w:pPr>
            <w:r>
              <w:rPr>
                <w:rFonts w:ascii="Times New Roman" w:cs="Times New Roman" w:eastAsia="Times New Roman" w:hAnsi="Times New Roman"/>
                <w:sz w:val="18"/>
                <w:szCs w:val="18"/>
                <w:color w:val="auto"/>
              </w:rPr>
              <w:t>Balance as of December 30,</w:t>
            </w:r>
          </w:p>
        </w:tc>
        <w:tc>
          <w:tcPr>
            <w:tcW w:w="20" w:type="dxa"/>
            <w:vAlign w:val="bottom"/>
            <w:tcBorders>
              <w:top w:val="single" w:sz="8" w:color="auto"/>
            </w:tcBorders>
            <w:shd w:val="clear" w:color="auto" w:fill="E9E9E9"/>
          </w:tcPr>
          <w:p>
            <w:pPr>
              <w:spacing w:after="0"/>
              <w:rPr>
                <w:sz w:val="15"/>
                <w:szCs w:val="15"/>
                <w:color w:val="auto"/>
              </w:rPr>
            </w:pPr>
          </w:p>
        </w:tc>
        <w:tc>
          <w:tcPr>
            <w:tcW w:w="1060" w:type="dxa"/>
            <w:vAlign w:val="bottom"/>
            <w:tcBorders>
              <w:top w:val="single" w:sz="8" w:color="auto"/>
            </w:tcBorders>
            <w:vMerge w:val="restart"/>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21,908,800</w:t>
            </w:r>
          </w:p>
        </w:tc>
        <w:tc>
          <w:tcPr>
            <w:tcW w:w="100" w:type="dxa"/>
            <w:vAlign w:val="bottom"/>
            <w:tcBorders>
              <w:top w:val="single" w:sz="8" w:color="E9E9E9"/>
            </w:tcBorders>
            <w:shd w:val="clear" w:color="auto" w:fill="E9E9E9"/>
          </w:tcPr>
          <w:p>
            <w:pPr>
              <w:spacing w:after="0"/>
              <w:rPr>
                <w:sz w:val="15"/>
                <w:szCs w:val="15"/>
                <w:color w:val="auto"/>
              </w:rPr>
            </w:pPr>
          </w:p>
        </w:tc>
        <w:tc>
          <w:tcPr>
            <w:tcW w:w="100" w:type="dxa"/>
            <w:vAlign w:val="bottom"/>
            <w:tcBorders>
              <w:top w:val="single" w:sz="8" w:color="auto"/>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auto"/>
            </w:tcBorders>
            <w:shd w:val="clear" w:color="auto" w:fill="E9E9E9"/>
          </w:tcPr>
          <w:p>
            <w:pPr>
              <w:spacing w:after="0"/>
              <w:rPr>
                <w:sz w:val="15"/>
                <w:szCs w:val="15"/>
                <w:color w:val="auto"/>
              </w:rPr>
            </w:pPr>
          </w:p>
        </w:tc>
        <w:tc>
          <w:tcPr>
            <w:tcW w:w="100" w:type="dxa"/>
            <w:vAlign w:val="bottom"/>
            <w:tcBorders>
              <w:top w:val="single" w:sz="8" w:color="E9E9E9"/>
            </w:tcBorders>
            <w:shd w:val="clear" w:color="auto" w:fill="E9E9E9"/>
          </w:tcPr>
          <w:p>
            <w:pPr>
              <w:spacing w:after="0"/>
              <w:rPr>
                <w:sz w:val="15"/>
                <w:szCs w:val="15"/>
                <w:color w:val="auto"/>
              </w:rPr>
            </w:pPr>
          </w:p>
        </w:tc>
        <w:tc>
          <w:tcPr>
            <w:tcW w:w="120" w:type="dxa"/>
            <w:vAlign w:val="bottom"/>
            <w:tcBorders>
              <w:top w:val="single" w:sz="8" w:color="auto"/>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tcBorders>
              <w:top w:val="single" w:sz="8" w:color="E9E9E9"/>
            </w:tcBorders>
            <w:shd w:val="clear" w:color="auto" w:fill="E9E9E9"/>
          </w:tcPr>
          <w:p>
            <w:pPr>
              <w:spacing w:after="0"/>
              <w:rPr>
                <w:sz w:val="15"/>
                <w:szCs w:val="15"/>
                <w:color w:val="auto"/>
              </w:rPr>
            </w:pPr>
          </w:p>
        </w:tc>
        <w:tc>
          <w:tcPr>
            <w:tcW w:w="100" w:type="dxa"/>
            <w:vAlign w:val="bottom"/>
            <w:tcBorders>
              <w:top w:val="single" w:sz="8" w:color="auto"/>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49,083</w:t>
            </w:r>
          </w:p>
        </w:tc>
        <w:tc>
          <w:tcPr>
            <w:tcW w:w="120" w:type="dxa"/>
            <w:vAlign w:val="bottom"/>
            <w:tcBorders>
              <w:top w:val="single" w:sz="8" w:color="E9E9E9"/>
            </w:tcBorders>
            <w:shd w:val="clear" w:color="auto" w:fill="E9E9E9"/>
          </w:tcPr>
          <w:p>
            <w:pPr>
              <w:spacing w:after="0"/>
              <w:rPr>
                <w:sz w:val="15"/>
                <w:szCs w:val="15"/>
                <w:color w:val="auto"/>
              </w:rPr>
            </w:pPr>
          </w:p>
        </w:tc>
        <w:tc>
          <w:tcPr>
            <w:tcW w:w="100" w:type="dxa"/>
            <w:vAlign w:val="bottom"/>
            <w:tcBorders>
              <w:top w:val="single" w:sz="8" w:color="auto"/>
            </w:tcBorders>
            <w:vMerge w:val="restart"/>
            <w:shd w:val="clear" w:color="auto" w:fill="E9E9E9"/>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top w:val="single" w:sz="8" w:color="E9E9E9"/>
            </w:tcBorders>
            <w:shd w:val="clear" w:color="auto" w:fill="E9E9E9"/>
          </w:tcPr>
          <w:p>
            <w:pPr>
              <w:spacing w:after="0"/>
              <w:rPr>
                <w:sz w:val="15"/>
                <w:szCs w:val="15"/>
                <w:color w:val="auto"/>
              </w:rPr>
            </w:pPr>
          </w:p>
        </w:tc>
        <w:tc>
          <w:tcPr>
            <w:tcW w:w="200" w:type="dxa"/>
            <w:vAlign w:val="bottom"/>
            <w:tcBorders>
              <w:top w:val="single" w:sz="8" w:color="auto"/>
            </w:tcBorders>
            <w:vMerge w:val="restart"/>
            <w:shd w:val="clear" w:color="auto" w:fill="E9E9E9"/>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vMerge w:val="restart"/>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51,595</w:t>
            </w:r>
          </w:p>
        </w:tc>
        <w:tc>
          <w:tcPr>
            <w:tcW w:w="0" w:type="dxa"/>
            <w:vAlign w:val="bottom"/>
          </w:tcPr>
          <w:p>
            <w:pPr>
              <w:spacing w:after="0"/>
              <w:rPr>
                <w:sz w:val="1"/>
                <w:szCs w:val="1"/>
                <w:color w:val="auto"/>
              </w:rPr>
            </w:pPr>
          </w:p>
        </w:tc>
      </w:tr>
      <w:tr>
        <w:trPr>
          <w:trHeight w:val="225"/>
        </w:trPr>
        <w:tc>
          <w:tcPr>
            <w:tcW w:w="2400" w:type="dxa"/>
            <w:vAlign w:val="bottom"/>
            <w:shd w:val="clear" w:color="auto" w:fill="E9E9E9"/>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E9E9E9"/>
          </w:tcPr>
          <w:p>
            <w:pPr>
              <w:spacing w:after="0"/>
              <w:rPr>
                <w:sz w:val="19"/>
                <w:szCs w:val="19"/>
                <w:color w:val="auto"/>
              </w:rPr>
            </w:pPr>
          </w:p>
        </w:tc>
        <w:tc>
          <w:tcPr>
            <w:tcW w:w="1060" w:type="dxa"/>
            <w:vAlign w:val="bottom"/>
            <w:tcBorders>
              <w:bottom w:val="single" w:sz="8" w:color="auto"/>
            </w:tcBorders>
            <w:vMerge w:val="continue"/>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00" w:type="dxa"/>
            <w:vAlign w:val="bottom"/>
            <w:tcBorders>
              <w:bottom w:val="single" w:sz="8" w:color="auto"/>
            </w:tcBorders>
            <w:vMerge w:val="continue"/>
            <w:shd w:val="clear" w:color="auto" w:fill="E9E9E9"/>
          </w:tcPr>
          <w:p>
            <w:pPr>
              <w:spacing w:after="0"/>
              <w:rPr>
                <w:sz w:val="19"/>
                <w:szCs w:val="19"/>
                <w:color w:val="auto"/>
              </w:rPr>
            </w:pPr>
          </w:p>
        </w:tc>
        <w:tc>
          <w:tcPr>
            <w:tcW w:w="840" w:type="dxa"/>
            <w:vAlign w:val="bottom"/>
            <w:tcBorders>
              <w:bottom w:val="single" w:sz="8" w:color="auto"/>
            </w:tcBorders>
            <w:vMerge w:val="continue"/>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vMerge w:val="continue"/>
            <w:shd w:val="clear" w:color="auto" w:fill="E9E9E9"/>
          </w:tcPr>
          <w:p>
            <w:pPr>
              <w:spacing w:after="0"/>
              <w:rPr>
                <w:sz w:val="19"/>
                <w:szCs w:val="19"/>
                <w:color w:val="auto"/>
              </w:rPr>
            </w:pPr>
          </w:p>
        </w:tc>
        <w:tc>
          <w:tcPr>
            <w:tcW w:w="900" w:type="dxa"/>
            <w:vAlign w:val="bottom"/>
            <w:tcBorders>
              <w:bottom w:val="single" w:sz="8" w:color="auto"/>
            </w:tcBorders>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tcBorders>
              <w:bottom w:val="single" w:sz="8" w:color="auto"/>
            </w:tcBorders>
            <w:vMerge w:val="continue"/>
            <w:shd w:val="clear" w:color="auto" w:fill="E9E9E9"/>
          </w:tcPr>
          <w:p>
            <w:pPr>
              <w:spacing w:after="0"/>
              <w:rPr>
                <w:sz w:val="19"/>
                <w:szCs w:val="19"/>
                <w:color w:val="auto"/>
              </w:rPr>
            </w:pPr>
          </w:p>
        </w:tc>
        <w:tc>
          <w:tcPr>
            <w:tcW w:w="920" w:type="dxa"/>
            <w:vAlign w:val="bottom"/>
            <w:tcBorders>
              <w:bottom w:val="single" w:sz="8" w:color="auto"/>
            </w:tcBorders>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tcBorders>
              <w:bottom w:val="single" w:sz="8" w:color="auto"/>
            </w:tcBorders>
            <w:vMerge w:val="continue"/>
            <w:shd w:val="clear" w:color="auto" w:fill="E9E9E9"/>
          </w:tcPr>
          <w:p>
            <w:pPr>
              <w:spacing w:after="0"/>
              <w:rPr>
                <w:sz w:val="19"/>
                <w:szCs w:val="19"/>
                <w:color w:val="auto"/>
              </w:rPr>
            </w:pPr>
          </w:p>
        </w:tc>
        <w:tc>
          <w:tcPr>
            <w:tcW w:w="920" w:type="dxa"/>
            <w:vAlign w:val="bottom"/>
            <w:tcBorders>
              <w:bottom w:val="single" w:sz="8" w:color="auto"/>
            </w:tcBorders>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0" w:type="dxa"/>
            <w:vAlign w:val="bottom"/>
            <w:tcBorders>
              <w:bottom w:val="single" w:sz="8" w:color="auto"/>
            </w:tcBorders>
            <w:vMerge w:val="continue"/>
            <w:shd w:val="clear" w:color="auto" w:fill="E9E9E9"/>
          </w:tcPr>
          <w:p>
            <w:pPr>
              <w:spacing w:after="0"/>
              <w:rPr>
                <w:sz w:val="19"/>
                <w:szCs w:val="19"/>
                <w:color w:val="auto"/>
              </w:rPr>
            </w:pPr>
          </w:p>
        </w:tc>
        <w:tc>
          <w:tcPr>
            <w:tcW w:w="1020" w:type="dxa"/>
            <w:vAlign w:val="bottom"/>
            <w:tcBorders>
              <w:bottom w:val="single" w:sz="8" w:color="auto"/>
            </w:tcBorders>
            <w:vMerge w:val="continue"/>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7"/>
        </w:trPr>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197"/>
        </w:trPr>
        <w:tc>
          <w:tcPr>
            <w:tcW w:w="2400" w:type="dxa"/>
            <w:vAlign w:val="bottom"/>
            <w:tcBorders>
              <w:bottom w:val="single" w:sz="8" w:color="E9E9E9"/>
            </w:tcBorders>
          </w:tcPr>
          <w:p>
            <w:pPr>
              <w:spacing w:after="0"/>
              <w:rPr>
                <w:sz w:val="17"/>
                <w:szCs w:val="17"/>
                <w:color w:val="auto"/>
              </w:rPr>
            </w:pPr>
          </w:p>
        </w:tc>
        <w:tc>
          <w:tcPr>
            <w:tcW w:w="20" w:type="dxa"/>
            <w:vAlign w:val="bottom"/>
            <w:tcBorders>
              <w:bottom w:val="single" w:sz="8" w:color="E9E9E9"/>
            </w:tcBorders>
          </w:tcPr>
          <w:p>
            <w:pPr>
              <w:spacing w:after="0"/>
              <w:rPr>
                <w:sz w:val="17"/>
                <w:szCs w:val="17"/>
                <w:color w:val="auto"/>
              </w:rPr>
            </w:pPr>
          </w:p>
        </w:tc>
        <w:tc>
          <w:tcPr>
            <w:tcW w:w="1060" w:type="dxa"/>
            <w:vAlign w:val="bottom"/>
            <w:tcBorders>
              <w:bottom w:val="single" w:sz="8" w:color="auto"/>
            </w:tcBorders>
          </w:tcPr>
          <w:p>
            <w:pPr>
              <w:jc w:val="right"/>
              <w:ind w:right="230"/>
              <w:spacing w:after="0" w:line="197"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0"/>
              <w:spacing w:after="0" w:line="197"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E9E9E9"/>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0"/>
              <w:spacing w:after="0" w:line="197"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0"/>
              <w:spacing w:after="0" w:line="197"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0"/>
              <w:spacing w:after="0" w:line="197" w:lineRule="exact"/>
              <w:rPr>
                <w:sz w:val="20"/>
                <w:szCs w:val="20"/>
                <w:color w:val="auto"/>
              </w:rPr>
            </w:pPr>
            <w:r>
              <w:rPr>
                <w:rFonts w:ascii="Times New Roman" w:cs="Times New Roman" w:eastAsia="Times New Roman" w:hAnsi="Times New Roman"/>
                <w:sz w:val="18"/>
                <w:szCs w:val="18"/>
                <w:b w:val="1"/>
                <w:bCs w:val="1"/>
                <w:color w:val="auto"/>
              </w:rPr>
              <w:t>Interests</w:t>
            </w:r>
          </w:p>
        </w:tc>
        <w:tc>
          <w:tcPr>
            <w:tcW w:w="120" w:type="dxa"/>
            <w:vAlign w:val="bottom"/>
            <w:tcBorders>
              <w:bottom w:val="single" w:sz="8" w:color="E9E9E9"/>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0"/>
              <w:spacing w:after="0" w:line="197"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79"/>
        </w:trPr>
        <w:tc>
          <w:tcPr>
            <w:tcW w:w="2420" w:type="dxa"/>
            <w:vAlign w:val="bottom"/>
            <w:gridSpan w:val="2"/>
            <w:shd w:val="clear" w:color="auto" w:fill="E9E9E9"/>
          </w:tcPr>
          <w:p>
            <w:pPr>
              <w:spacing w:after="0" w:line="179" w:lineRule="exact"/>
              <w:rPr>
                <w:sz w:val="20"/>
                <w:szCs w:val="20"/>
                <w:color w:val="auto"/>
              </w:rPr>
            </w:pPr>
            <w:r>
              <w:rPr>
                <w:rFonts w:ascii="Times New Roman" w:cs="Times New Roman" w:eastAsia="Times New Roman" w:hAnsi="Times New Roman"/>
                <w:sz w:val="18"/>
                <w:szCs w:val="18"/>
                <w:color w:val="auto"/>
              </w:rPr>
              <w:t>Balance as of December 30,</w:t>
            </w:r>
          </w:p>
        </w:tc>
        <w:tc>
          <w:tcPr>
            <w:tcW w:w="106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84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120" w:type="dxa"/>
            <w:vAlign w:val="bottom"/>
            <w:shd w:val="clear" w:color="auto" w:fill="E9E9E9"/>
          </w:tcPr>
          <w:p>
            <w:pPr>
              <w:spacing w:after="0"/>
              <w:rPr>
                <w:sz w:val="15"/>
                <w:szCs w:val="15"/>
                <w:color w:val="auto"/>
              </w:rPr>
            </w:pPr>
          </w:p>
        </w:tc>
        <w:tc>
          <w:tcPr>
            <w:tcW w:w="900" w:type="dxa"/>
            <w:vAlign w:val="bottom"/>
            <w:shd w:val="clear" w:color="auto" w:fill="E9E9E9"/>
          </w:tcPr>
          <w:p>
            <w:pPr>
              <w:spacing w:after="0"/>
              <w:rPr>
                <w:sz w:val="15"/>
                <w:szCs w:val="15"/>
                <w:color w:val="auto"/>
              </w:rPr>
            </w:pPr>
          </w:p>
        </w:tc>
        <w:tc>
          <w:tcPr>
            <w:tcW w:w="12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920" w:type="dxa"/>
            <w:vAlign w:val="bottom"/>
            <w:shd w:val="clear" w:color="auto" w:fill="E9E9E9"/>
          </w:tcPr>
          <w:p>
            <w:pPr>
              <w:spacing w:after="0"/>
              <w:rPr>
                <w:sz w:val="15"/>
                <w:szCs w:val="15"/>
                <w:color w:val="auto"/>
              </w:rPr>
            </w:pPr>
          </w:p>
        </w:tc>
        <w:tc>
          <w:tcPr>
            <w:tcW w:w="120" w:type="dxa"/>
            <w:vAlign w:val="bottom"/>
            <w:shd w:val="clear" w:color="auto" w:fill="E9E9E9"/>
          </w:tcPr>
          <w:p>
            <w:pPr>
              <w:spacing w:after="0"/>
              <w:rPr>
                <w:sz w:val="15"/>
                <w:szCs w:val="15"/>
                <w:color w:val="auto"/>
              </w:rPr>
            </w:pPr>
          </w:p>
        </w:tc>
        <w:tc>
          <w:tcPr>
            <w:tcW w:w="100" w:type="dxa"/>
            <w:vAlign w:val="bottom"/>
            <w:shd w:val="clear" w:color="auto" w:fill="E9E9E9"/>
          </w:tcPr>
          <w:p>
            <w:pPr>
              <w:spacing w:after="0"/>
              <w:rPr>
                <w:sz w:val="15"/>
                <w:szCs w:val="15"/>
                <w:color w:val="auto"/>
              </w:rPr>
            </w:pPr>
          </w:p>
        </w:tc>
        <w:tc>
          <w:tcPr>
            <w:tcW w:w="920" w:type="dxa"/>
            <w:vAlign w:val="bottom"/>
            <w:shd w:val="clear" w:color="auto" w:fill="E9E9E9"/>
          </w:tcPr>
          <w:p>
            <w:pPr>
              <w:spacing w:after="0"/>
              <w:rPr>
                <w:sz w:val="15"/>
                <w:szCs w:val="15"/>
                <w:color w:val="auto"/>
              </w:rPr>
            </w:pPr>
          </w:p>
        </w:tc>
        <w:tc>
          <w:tcPr>
            <w:tcW w:w="120" w:type="dxa"/>
            <w:vAlign w:val="bottom"/>
            <w:shd w:val="clear" w:color="auto" w:fill="E9E9E9"/>
          </w:tcPr>
          <w:p>
            <w:pPr>
              <w:spacing w:after="0"/>
              <w:rPr>
                <w:sz w:val="15"/>
                <w:szCs w:val="15"/>
                <w:color w:val="auto"/>
              </w:rPr>
            </w:pPr>
          </w:p>
        </w:tc>
        <w:tc>
          <w:tcPr>
            <w:tcW w:w="200" w:type="dxa"/>
            <w:vAlign w:val="bottom"/>
            <w:shd w:val="clear" w:color="auto" w:fill="E9E9E9"/>
          </w:tcPr>
          <w:p>
            <w:pPr>
              <w:spacing w:after="0"/>
              <w:rPr>
                <w:sz w:val="15"/>
                <w:szCs w:val="15"/>
                <w:color w:val="auto"/>
              </w:rPr>
            </w:pPr>
          </w:p>
        </w:tc>
        <w:tc>
          <w:tcPr>
            <w:tcW w:w="1020" w:type="dxa"/>
            <w:vAlign w:val="bottom"/>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0" w:type="dxa"/>
            <w:vAlign w:val="bottom"/>
            <w:shd w:val="clear" w:color="auto" w:fill="E9E9E9"/>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E9E9E9"/>
          </w:tcPr>
          <w:p>
            <w:pPr>
              <w:spacing w:after="0"/>
              <w:rPr>
                <w:sz w:val="19"/>
                <w:szCs w:val="19"/>
                <w:color w:val="auto"/>
              </w:rPr>
            </w:pPr>
          </w:p>
        </w:tc>
        <w:tc>
          <w:tcPr>
            <w:tcW w:w="1060" w:type="dxa"/>
            <w:vAlign w:val="bottom"/>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21,908,800</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49,083</w:t>
            </w: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E9E9E9"/>
          </w:tcPr>
          <w:p>
            <w:pPr>
              <w:spacing w:after="0"/>
              <w:rPr>
                <w:sz w:val="19"/>
                <w:szCs w:val="19"/>
                <w:color w:val="auto"/>
              </w:rPr>
            </w:pPr>
          </w:p>
        </w:tc>
        <w:tc>
          <w:tcPr>
            <w:tcW w:w="200" w:type="dxa"/>
            <w:vAlign w:val="bottom"/>
            <w:shd w:val="clear" w:color="auto" w:fill="E9E9E9"/>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51,595</w:t>
            </w:r>
          </w:p>
        </w:tc>
        <w:tc>
          <w:tcPr>
            <w:tcW w:w="0" w:type="dxa"/>
            <w:vAlign w:val="bottom"/>
          </w:tcPr>
          <w:p>
            <w:pPr>
              <w:spacing w:after="0"/>
              <w:rPr>
                <w:sz w:val="1"/>
                <w:szCs w:val="1"/>
                <w:color w:val="auto"/>
              </w:rPr>
            </w:pPr>
          </w:p>
        </w:tc>
      </w:tr>
      <w:tr>
        <w:trPr>
          <w:trHeight w:val="20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E9E9E9"/>
          </w:tcPr>
          <w:p>
            <w:pPr>
              <w:spacing w:after="0" w:line="189" w:lineRule="exact"/>
              <w:rPr>
                <w:sz w:val="20"/>
                <w:szCs w:val="20"/>
                <w:color w:val="auto"/>
              </w:rPr>
            </w:pPr>
            <w:r>
              <w:rPr>
                <w:rFonts w:ascii="Times New Roman" w:cs="Times New Roman" w:eastAsia="Times New Roman" w:hAnsi="Times New Roman"/>
                <w:sz w:val="18"/>
                <w:szCs w:val="18"/>
                <w:color w:val="auto"/>
              </w:rPr>
              <w:t>Initial Public Offering, net of</w:t>
            </w:r>
          </w:p>
        </w:tc>
        <w:tc>
          <w:tcPr>
            <w:tcW w:w="1060" w:type="dxa"/>
            <w:vAlign w:val="bottom"/>
            <w:vMerge w:val="restart"/>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3,575,000</w:t>
            </w:r>
          </w:p>
        </w:tc>
        <w:tc>
          <w:tcPr>
            <w:tcW w:w="10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84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9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9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9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6"/>
                <w:szCs w:val="16"/>
                <w:color w:val="auto"/>
              </w:rPr>
            </w:pPr>
          </w:p>
        </w:tc>
        <w:tc>
          <w:tcPr>
            <w:tcW w:w="200" w:type="dxa"/>
            <w:vAlign w:val="bottom"/>
            <w:shd w:val="clear" w:color="auto" w:fill="E9E9E9"/>
          </w:tcPr>
          <w:p>
            <w:pPr>
              <w:spacing w:after="0"/>
              <w:rPr>
                <w:sz w:val="16"/>
                <w:szCs w:val="16"/>
                <w:color w:val="auto"/>
              </w:rPr>
            </w:pPr>
          </w:p>
        </w:tc>
        <w:tc>
          <w:tcPr>
            <w:tcW w:w="1020" w:type="dxa"/>
            <w:vAlign w:val="bottom"/>
            <w:vMerge w:val="restart"/>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19,065</w:t>
            </w:r>
          </w:p>
        </w:tc>
        <w:tc>
          <w:tcPr>
            <w:tcW w:w="0" w:type="dxa"/>
            <w:vAlign w:val="bottom"/>
          </w:tcPr>
          <w:p>
            <w:pPr>
              <w:spacing w:after="0"/>
              <w:rPr>
                <w:sz w:val="1"/>
                <w:szCs w:val="1"/>
                <w:color w:val="auto"/>
              </w:rPr>
            </w:pPr>
          </w:p>
        </w:tc>
      </w:tr>
      <w:tr>
        <w:trPr>
          <w:trHeight w:val="225"/>
        </w:trPr>
        <w:tc>
          <w:tcPr>
            <w:tcW w:w="242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18"/>
                <w:szCs w:val="18"/>
                <w:color w:val="auto"/>
              </w:rPr>
              <w:t>costs</w:t>
            </w:r>
          </w:p>
        </w:tc>
        <w:tc>
          <w:tcPr>
            <w:tcW w:w="1060" w:type="dxa"/>
            <w:vAlign w:val="bottom"/>
            <w:vMerge w:val="continue"/>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840" w:type="dxa"/>
            <w:vAlign w:val="bottom"/>
            <w:vMerge w:val="continue"/>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900" w:type="dxa"/>
            <w:vAlign w:val="bottom"/>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920" w:type="dxa"/>
            <w:vAlign w:val="bottom"/>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920" w:type="dxa"/>
            <w:vAlign w:val="bottom"/>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020" w:type="dxa"/>
            <w:vAlign w:val="bottom"/>
            <w:vMerge w:val="continue"/>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9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9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1020" w:type="dxa"/>
            <w:vAlign w:val="bottom"/>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Contributions from non-</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controlling interests</w:t>
            </w: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E9E9E9"/>
          </w:tcPr>
          <w:p>
            <w:pPr>
              <w:spacing w:after="0" w:line="189" w:lineRule="exact"/>
              <w:rPr>
                <w:sz w:val="20"/>
                <w:szCs w:val="20"/>
                <w:color w:val="auto"/>
              </w:rPr>
            </w:pPr>
            <w:r>
              <w:rPr>
                <w:rFonts w:ascii="Times New Roman" w:cs="Times New Roman" w:eastAsia="Times New Roman" w:hAnsi="Times New Roman"/>
                <w:sz w:val="18"/>
                <w:szCs w:val="18"/>
                <w:color w:val="auto"/>
              </w:rPr>
              <w:t>Distributions to non-controlling</w:t>
            </w:r>
          </w:p>
        </w:tc>
        <w:tc>
          <w:tcPr>
            <w:tcW w:w="1060" w:type="dxa"/>
            <w:vAlign w:val="bottom"/>
            <w:vMerge w:val="restart"/>
            <w:shd w:val="clear" w:color="auto" w:fill="E9E9E9"/>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84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9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9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9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E9E9E9"/>
          </w:tcPr>
          <w:p>
            <w:pPr>
              <w:spacing w:after="0"/>
              <w:rPr>
                <w:sz w:val="16"/>
                <w:szCs w:val="16"/>
                <w:color w:val="auto"/>
              </w:rPr>
            </w:pPr>
          </w:p>
        </w:tc>
        <w:tc>
          <w:tcPr>
            <w:tcW w:w="200" w:type="dxa"/>
            <w:vAlign w:val="bottom"/>
            <w:shd w:val="clear" w:color="auto" w:fill="E9E9E9"/>
          </w:tcPr>
          <w:p>
            <w:pPr>
              <w:spacing w:after="0"/>
              <w:rPr>
                <w:sz w:val="16"/>
                <w:szCs w:val="16"/>
                <w:color w:val="auto"/>
              </w:rPr>
            </w:pPr>
          </w:p>
        </w:tc>
        <w:tc>
          <w:tcPr>
            <w:tcW w:w="10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5"/>
        </w:trPr>
        <w:tc>
          <w:tcPr>
            <w:tcW w:w="2400" w:type="dxa"/>
            <w:vAlign w:val="bottom"/>
            <w:shd w:val="clear" w:color="auto" w:fill="E9E9E9"/>
          </w:tcPr>
          <w:p>
            <w:pPr>
              <w:spacing w:after="0"/>
              <w:rPr>
                <w:sz w:val="20"/>
                <w:szCs w:val="20"/>
                <w:color w:val="auto"/>
              </w:rPr>
            </w:pPr>
            <w:r>
              <w:rPr>
                <w:rFonts w:ascii="Times New Roman" w:cs="Times New Roman" w:eastAsia="Times New Roman" w:hAnsi="Times New Roman"/>
                <w:sz w:val="18"/>
                <w:szCs w:val="18"/>
                <w:color w:val="auto"/>
              </w:rPr>
              <w:t>interests</w:t>
            </w:r>
          </w:p>
        </w:tc>
        <w:tc>
          <w:tcPr>
            <w:tcW w:w="2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vMerge w:val="continue"/>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840" w:type="dxa"/>
            <w:vAlign w:val="bottom"/>
            <w:tcBorders>
              <w:bottom w:val="single" w:sz="8" w:color="auto"/>
            </w:tcBorders>
            <w:vMerge w:val="continue"/>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20" w:type="dxa"/>
            <w:vAlign w:val="bottom"/>
            <w:tcBorders>
              <w:bottom w:val="single" w:sz="8" w:color="auto"/>
            </w:tcBorders>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920" w:type="dxa"/>
            <w:vAlign w:val="bottom"/>
            <w:tcBorders>
              <w:bottom w:val="single" w:sz="8" w:color="auto"/>
            </w:tcBorders>
            <w:vMerge w:val="continue"/>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0" w:type="dxa"/>
            <w:vAlign w:val="bottom"/>
            <w:tcBorders>
              <w:bottom w:val="single" w:sz="8" w:color="auto"/>
            </w:tcBorders>
            <w:shd w:val="clear" w:color="auto" w:fill="E9E9E9"/>
          </w:tcPr>
          <w:p>
            <w:pPr>
              <w:spacing w:after="0"/>
              <w:rPr>
                <w:sz w:val="19"/>
                <w:szCs w:val="19"/>
                <w:color w:val="auto"/>
              </w:rPr>
            </w:pPr>
          </w:p>
        </w:tc>
        <w:tc>
          <w:tcPr>
            <w:tcW w:w="1020" w:type="dxa"/>
            <w:vAlign w:val="bottom"/>
            <w:tcBorders>
              <w:bottom w:val="single" w:sz="8" w:color="auto"/>
            </w:tcBorders>
            <w:vMerge w:val="continue"/>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40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Balance as of December 29,</w:t>
            </w:r>
          </w:p>
        </w:tc>
        <w:tc>
          <w:tcPr>
            <w:tcW w:w="20" w:type="dxa"/>
            <w:vAlign w:val="bottom"/>
          </w:tcPr>
          <w:p>
            <w:pPr>
              <w:spacing w:after="0"/>
              <w:rPr>
                <w:sz w:val="15"/>
                <w:szCs w:val="15"/>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25,493,877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46,537</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2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70,490</w:t>
            </w:r>
          </w:p>
        </w:tc>
        <w:tc>
          <w:tcPr>
            <w:tcW w:w="0" w:type="dxa"/>
            <w:vAlign w:val="bottom"/>
          </w:tcPr>
          <w:p>
            <w:pPr>
              <w:spacing w:after="0"/>
              <w:rPr>
                <w:sz w:val="1"/>
                <w:szCs w:val="1"/>
                <w:color w:val="auto"/>
              </w:rPr>
            </w:pPr>
          </w:p>
        </w:tc>
      </w:tr>
      <w:tr>
        <w:trPr>
          <w:trHeight w:val="225"/>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16" w:right="1440" w:bottom="175"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Shimmick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70"/>
              <w:spacing w:after="0"/>
              <w:rPr>
                <w:sz w:val="20"/>
                <w:szCs w:val="20"/>
                <w:color w:val="auto"/>
              </w:rPr>
            </w:pPr>
            <w:r>
              <w:rPr>
                <w:rFonts w:ascii="Calibri" w:cs="Calibri" w:eastAsia="Calibri" w:hAnsi="Calibri"/>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50"/>
              <w:spacing w:after="0" w:line="195" w:lineRule="exact"/>
              <w:rPr>
                <w:sz w:val="20"/>
                <w:szCs w:val="20"/>
                <w:color w:val="auto"/>
              </w:rPr>
            </w:pPr>
            <w:r>
              <w:rPr>
                <w:rFonts w:ascii="Calibri" w:cs="Calibri" w:eastAsia="Calibri" w:hAnsi="Calibri"/>
                <w:sz w:val="18"/>
                <w:szCs w:val="18"/>
                <w:b w:val="1"/>
                <w:bCs w:val="1"/>
                <w:color w:val="auto"/>
                <w:w w:val="98"/>
              </w:rPr>
              <w:t>December 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30"/>
              <w:spacing w:after="0" w:line="195" w:lineRule="exact"/>
              <w:rPr>
                <w:sz w:val="20"/>
                <w:szCs w:val="20"/>
                <w:color w:val="auto"/>
              </w:rPr>
            </w:pPr>
            <w:r>
              <w:rPr>
                <w:rFonts w:ascii="Calibri" w:cs="Calibri" w:eastAsia="Calibri" w:hAnsi="Calibri"/>
                <w:sz w:val="18"/>
                <w:szCs w:val="18"/>
                <w:b w:val="1"/>
                <w:bCs w:val="1"/>
                <w:color w:val="auto"/>
              </w:rPr>
              <w:t>December 30,</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Calibri" w:cs="Calibri" w:eastAsia="Calibri" w:hAnsi="Calibri"/>
                <w:sz w:val="18"/>
                <w:szCs w:val="18"/>
                <w:b w:val="1"/>
                <w:bCs w:val="1"/>
                <w:color w:val="auto"/>
              </w:rPr>
              <w:t>2023</w:t>
            </w:r>
          </w:p>
        </w:tc>
        <w:tc>
          <w:tcPr>
            <w:tcW w:w="140" w:type="dxa"/>
            <w:vAlign w:val="bottom"/>
            <w:tcBorders>
              <w:bottom w:val="single" w:sz="8" w:color="E9E9E9"/>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Calibri" w:cs="Calibri" w:eastAsia="Calibri" w:hAnsi="Calibri"/>
                <w:sz w:val="18"/>
                <w:szCs w:val="18"/>
                <w:b w:val="1"/>
                <w:bCs w:val="1"/>
                <w:color w:val="auto"/>
              </w:rPr>
              <w:t>2022</w:t>
            </w:r>
          </w:p>
        </w:tc>
        <w:tc>
          <w:tcPr>
            <w:tcW w:w="0" w:type="dxa"/>
            <w:vAlign w:val="bottom"/>
          </w:tcPr>
          <w:p>
            <w:pPr>
              <w:spacing w:after="0"/>
              <w:rPr>
                <w:sz w:val="1"/>
                <w:szCs w:val="1"/>
                <w:color w:val="auto"/>
              </w:rPr>
            </w:pPr>
          </w:p>
        </w:tc>
      </w:tr>
      <w:tr>
        <w:trPr>
          <w:trHeight w:val="210"/>
        </w:trPr>
        <w:tc>
          <w:tcPr>
            <w:tcW w:w="6420" w:type="dxa"/>
            <w:vAlign w:val="bottom"/>
            <w:shd w:val="clear" w:color="auto" w:fill="E9E9E9"/>
          </w:tcPr>
          <w:p>
            <w:pPr>
              <w:spacing w:after="0" w:line="210" w:lineRule="exact"/>
              <w:rPr>
                <w:sz w:val="20"/>
                <w:szCs w:val="20"/>
                <w:color w:val="auto"/>
              </w:rPr>
            </w:pPr>
            <w:r>
              <w:rPr>
                <w:rFonts w:ascii="Calibri" w:cs="Calibri" w:eastAsia="Calibri" w:hAnsi="Calibri"/>
                <w:sz w:val="18"/>
                <w:szCs w:val="18"/>
                <w:b w:val="1"/>
                <w:bCs w:val="1"/>
                <w:color w:val="auto"/>
              </w:rPr>
              <w:t>Cash Flows From Operating Activities</w:t>
            </w: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200"/>
              <w:spacing w:after="0"/>
              <w:rPr>
                <w:sz w:val="20"/>
                <w:szCs w:val="20"/>
                <w:color w:val="auto"/>
              </w:rPr>
            </w:pPr>
            <w:r>
              <w:rPr>
                <w:rFonts w:ascii="Calibri" w:cs="Calibri" w:eastAsia="Calibri" w:hAnsi="Calibri"/>
                <w:sz w:val="18"/>
                <w:szCs w:val="18"/>
                <w:color w:val="auto"/>
              </w:rPr>
              <w:t>Net (loss) income</w:t>
            </w:r>
          </w:p>
        </w:tc>
        <w:tc>
          <w:tcPr>
            <w:tcW w:w="120" w:type="dxa"/>
            <w:vAlign w:val="bottom"/>
            <w:gridSpan w:val="2"/>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auto"/>
              </w:rPr>
              <w:t>(2,286)</w:t>
            </w:r>
          </w:p>
        </w:tc>
        <w:tc>
          <w:tcPr>
            <w:tcW w:w="260" w:type="dxa"/>
            <w:vAlign w:val="bottom"/>
            <w:gridSpan w:val="2"/>
          </w:tcPr>
          <w:p>
            <w:pPr>
              <w:jc w:val="right"/>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2,907</w:t>
            </w:r>
          </w:p>
        </w:tc>
        <w:tc>
          <w:tcPr>
            <w:tcW w:w="0" w:type="dxa"/>
            <w:vAlign w:val="bottom"/>
          </w:tcPr>
          <w:p>
            <w:pPr>
              <w:spacing w:after="0"/>
              <w:rPr>
                <w:sz w:val="1"/>
                <w:szCs w:val="1"/>
                <w:color w:val="auto"/>
              </w:rPr>
            </w:pPr>
          </w:p>
        </w:tc>
      </w:tr>
      <w:tr>
        <w:trPr>
          <w:trHeight w:val="208"/>
        </w:trPr>
        <w:tc>
          <w:tcPr>
            <w:tcW w:w="6420" w:type="dxa"/>
            <w:vAlign w:val="bottom"/>
            <w:shd w:val="clear" w:color="auto" w:fill="E9E9E9"/>
          </w:tcPr>
          <w:p>
            <w:pPr>
              <w:ind w:left="200"/>
              <w:spacing w:after="0" w:line="208" w:lineRule="exact"/>
              <w:rPr>
                <w:sz w:val="20"/>
                <w:szCs w:val="20"/>
                <w:color w:val="auto"/>
              </w:rPr>
            </w:pPr>
            <w:r>
              <w:rPr>
                <w:rFonts w:ascii="Calibri" w:cs="Calibri" w:eastAsia="Calibri" w:hAnsi="Calibri"/>
                <w:sz w:val="18"/>
                <w:szCs w:val="18"/>
                <w:color w:val="auto"/>
              </w:rPr>
              <w:t>Adjustments to reconcile net (loss) income to net cash used in operating</w:t>
            </w: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20" w:type="dxa"/>
            <w:vAlign w:val="bottom"/>
            <w:shd w:val="clear" w:color="auto" w:fill="E9E9E9"/>
          </w:tcPr>
          <w:p>
            <w:pPr>
              <w:ind w:left="320"/>
              <w:spacing w:after="0"/>
              <w:rPr>
                <w:sz w:val="20"/>
                <w:szCs w:val="20"/>
                <w:color w:val="auto"/>
              </w:rPr>
            </w:pPr>
            <w:r>
              <w:rPr>
                <w:rFonts w:ascii="Calibri" w:cs="Calibri" w:eastAsia="Calibri" w:hAnsi="Calibri"/>
                <w:sz w:val="18"/>
                <w:szCs w:val="18"/>
                <w:color w:val="auto"/>
              </w:rPr>
              <w:t>activities:</w:t>
            </w:r>
          </w:p>
        </w:tc>
        <w:tc>
          <w:tcPr>
            <w:tcW w:w="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128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12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Stock-based compensation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2,062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2,295</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400"/>
              <w:spacing w:after="0"/>
              <w:rPr>
                <w:sz w:val="20"/>
                <w:szCs w:val="20"/>
                <w:color w:val="auto"/>
              </w:rPr>
            </w:pPr>
            <w:r>
              <w:rPr>
                <w:rFonts w:ascii="Calibri" w:cs="Calibri" w:eastAsia="Calibri" w:hAnsi="Calibri"/>
                <w:sz w:val="18"/>
                <w:szCs w:val="18"/>
                <w:color w:val="auto"/>
              </w:rPr>
              <w:t>Depreciation and amortization</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17,121</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15,979</w:t>
            </w: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Equity in earnings of unconsolidated joint ventures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(10,354)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(52,471)</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400"/>
              <w:spacing w:after="0"/>
              <w:rPr>
                <w:sz w:val="20"/>
                <w:szCs w:val="20"/>
                <w:color w:val="auto"/>
              </w:rPr>
            </w:pPr>
            <w:r>
              <w:rPr>
                <w:rFonts w:ascii="Calibri" w:cs="Calibri" w:eastAsia="Calibri" w:hAnsi="Calibri"/>
                <w:sz w:val="18"/>
                <w:szCs w:val="18"/>
                <w:color w:val="auto"/>
              </w:rPr>
              <w:t>Return on investment in unconsolidated joint ventures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14,682</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59,651</w:t>
            </w: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Gain on sale of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(31,834)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400"/>
              <w:spacing w:after="0"/>
              <w:rPr>
                <w:sz w:val="20"/>
                <w:szCs w:val="20"/>
                <w:color w:val="auto"/>
              </w:rPr>
            </w:pPr>
            <w:r>
              <w:rPr>
                <w:rFonts w:ascii="Calibri" w:cs="Calibri" w:eastAsia="Calibri" w:hAnsi="Calibri"/>
                <w:sz w:val="18"/>
                <w:szCs w:val="18"/>
                <w:color w:val="auto"/>
              </w:rPr>
              <w:t>Other</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(47)</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9,462</w:t>
            </w: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Changes in operating assets and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600"/>
              <w:spacing w:after="0"/>
              <w:rPr>
                <w:sz w:val="20"/>
                <w:szCs w:val="20"/>
                <w:color w:val="auto"/>
              </w:rPr>
            </w:pPr>
            <w:r>
              <w:rPr>
                <w:rFonts w:ascii="Calibri" w:cs="Calibri" w:eastAsia="Calibri" w:hAnsi="Calibri"/>
                <w:sz w:val="18"/>
                <w:szCs w:val="18"/>
                <w:color w:val="auto"/>
              </w:rPr>
              <w:t>Accounts receivable, net</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2,251</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41,574</w:t>
            </w:r>
          </w:p>
        </w:tc>
        <w:tc>
          <w:tcPr>
            <w:tcW w:w="0" w:type="dxa"/>
            <w:vAlign w:val="bottom"/>
          </w:tcPr>
          <w:p>
            <w:pPr>
              <w:spacing w:after="0"/>
              <w:rPr>
                <w:sz w:val="1"/>
                <w:szCs w:val="1"/>
                <w:color w:val="auto"/>
              </w:rPr>
            </w:pPr>
          </w:p>
        </w:tc>
      </w:tr>
      <w:tr>
        <w:trPr>
          <w:trHeight w:val="220"/>
        </w:trPr>
        <w:tc>
          <w:tcPr>
            <w:tcW w:w="6420" w:type="dxa"/>
            <w:vAlign w:val="bottom"/>
          </w:tcPr>
          <w:p>
            <w:pPr>
              <w:ind w:left="600"/>
              <w:spacing w:after="0"/>
              <w:rPr>
                <w:sz w:val="20"/>
                <w:szCs w:val="20"/>
                <w:color w:val="auto"/>
              </w:rPr>
            </w:pPr>
            <w:r>
              <w:rPr>
                <w:rFonts w:ascii="Calibri" w:cs="Calibri" w:eastAsia="Calibri" w:hAnsi="Calibri"/>
                <w:sz w:val="18"/>
                <w:szCs w:val="18"/>
                <w:color w:val="auto"/>
              </w:rPr>
              <w:t>Due from unconsolidated joint ventures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313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7,079</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600"/>
              <w:spacing w:after="0"/>
              <w:rPr>
                <w:sz w:val="20"/>
                <w:szCs w:val="20"/>
                <w:color w:val="auto"/>
              </w:rPr>
            </w:pPr>
            <w:r>
              <w:rPr>
                <w:rFonts w:ascii="Calibri" w:cs="Calibri" w:eastAsia="Calibri" w:hAnsi="Calibri"/>
                <w:sz w:val="18"/>
                <w:szCs w:val="18"/>
                <w:color w:val="auto"/>
              </w:rPr>
              <w:t>Contract assets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(9,334)</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(46,736)</w:t>
            </w:r>
          </w:p>
        </w:tc>
        <w:tc>
          <w:tcPr>
            <w:tcW w:w="0" w:type="dxa"/>
            <w:vAlign w:val="bottom"/>
          </w:tcPr>
          <w:p>
            <w:pPr>
              <w:spacing w:after="0"/>
              <w:rPr>
                <w:sz w:val="1"/>
                <w:szCs w:val="1"/>
                <w:color w:val="auto"/>
              </w:rPr>
            </w:pPr>
          </w:p>
        </w:tc>
      </w:tr>
      <w:tr>
        <w:trPr>
          <w:trHeight w:val="220"/>
        </w:trPr>
        <w:tc>
          <w:tcPr>
            <w:tcW w:w="6420" w:type="dxa"/>
            <w:vAlign w:val="bottom"/>
          </w:tcPr>
          <w:p>
            <w:pPr>
              <w:ind w:left="600"/>
              <w:spacing w:after="0"/>
              <w:rPr>
                <w:sz w:val="20"/>
                <w:szCs w:val="20"/>
                <w:color w:val="auto"/>
              </w:rPr>
            </w:pPr>
            <w:r>
              <w:rPr>
                <w:rFonts w:ascii="Calibri" w:cs="Calibri" w:eastAsia="Calibri" w:hAnsi="Calibri"/>
                <w:sz w:val="18"/>
                <w:szCs w:val="18"/>
                <w:color w:val="auto"/>
              </w:rPr>
              <w:t>Accounts payable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13,747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10,436</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600"/>
              <w:spacing w:after="0"/>
              <w:rPr>
                <w:sz w:val="20"/>
                <w:szCs w:val="20"/>
                <w:color w:val="auto"/>
              </w:rPr>
            </w:pPr>
            <w:r>
              <w:rPr>
                <w:rFonts w:ascii="Calibri" w:cs="Calibri" w:eastAsia="Calibri" w:hAnsi="Calibri"/>
                <w:sz w:val="18"/>
                <w:szCs w:val="18"/>
                <w:color w:val="auto"/>
              </w:rPr>
              <w:t>Contract liabilities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(47,940)</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(94,165)</w:t>
            </w:r>
          </w:p>
        </w:tc>
        <w:tc>
          <w:tcPr>
            <w:tcW w:w="0" w:type="dxa"/>
            <w:vAlign w:val="bottom"/>
          </w:tcPr>
          <w:p>
            <w:pPr>
              <w:spacing w:after="0"/>
              <w:rPr>
                <w:sz w:val="1"/>
                <w:szCs w:val="1"/>
                <w:color w:val="auto"/>
              </w:rPr>
            </w:pPr>
          </w:p>
        </w:tc>
      </w:tr>
      <w:tr>
        <w:trPr>
          <w:trHeight w:val="220"/>
        </w:trPr>
        <w:tc>
          <w:tcPr>
            <w:tcW w:w="6420" w:type="dxa"/>
            <w:vAlign w:val="bottom"/>
          </w:tcPr>
          <w:p>
            <w:pPr>
              <w:ind w:left="600"/>
              <w:spacing w:after="0"/>
              <w:rPr>
                <w:sz w:val="20"/>
                <w:szCs w:val="20"/>
                <w:color w:val="auto"/>
              </w:rPr>
            </w:pPr>
            <w:r>
              <w:rPr>
                <w:rFonts w:ascii="Calibri" w:cs="Calibri" w:eastAsia="Calibri" w:hAnsi="Calibri"/>
                <w:sz w:val="18"/>
                <w:szCs w:val="18"/>
                <w:color w:val="auto"/>
              </w:rPr>
              <w:t>Accrued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(26,861)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31,471</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600"/>
              <w:spacing w:after="0"/>
              <w:rPr>
                <w:sz w:val="20"/>
                <w:szCs w:val="20"/>
                <w:color w:val="auto"/>
              </w:rPr>
            </w:pPr>
            <w:r>
              <w:rPr>
                <w:rFonts w:ascii="Calibri" w:cs="Calibri" w:eastAsia="Calibri" w:hAnsi="Calibri"/>
                <w:sz w:val="18"/>
                <w:szCs w:val="18"/>
                <w:color w:val="auto"/>
              </w:rPr>
              <w:t>Accrued salaries, wages and benefits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(8,975)</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4,149</w:t>
            </w:r>
          </w:p>
        </w:tc>
        <w:tc>
          <w:tcPr>
            <w:tcW w:w="0" w:type="dxa"/>
            <w:vAlign w:val="bottom"/>
          </w:tcPr>
          <w:p>
            <w:pPr>
              <w:spacing w:after="0"/>
              <w:rPr>
                <w:sz w:val="1"/>
                <w:szCs w:val="1"/>
                <w:color w:val="auto"/>
              </w:rPr>
            </w:pPr>
          </w:p>
        </w:tc>
      </w:tr>
      <w:tr>
        <w:trPr>
          <w:trHeight w:val="220"/>
        </w:trPr>
        <w:tc>
          <w:tcPr>
            <w:tcW w:w="6420" w:type="dxa"/>
            <w:vAlign w:val="bottom"/>
            <w:tcBorders>
              <w:bottom w:val="single" w:sz="8" w:color="E9E9E9"/>
            </w:tcBorders>
          </w:tcPr>
          <w:p>
            <w:pPr>
              <w:ind w:left="600"/>
              <w:spacing w:after="0"/>
              <w:rPr>
                <w:sz w:val="20"/>
                <w:szCs w:val="20"/>
                <w:color w:val="auto"/>
              </w:rPr>
            </w:pPr>
            <w:r>
              <w:rPr>
                <w:rFonts w:ascii="Calibri" w:cs="Calibri" w:eastAsia="Calibri" w:hAnsi="Calibri"/>
                <w:sz w:val="18"/>
                <w:szCs w:val="18"/>
                <w:color w:val="auto"/>
              </w:rPr>
              <w:t>Other assets and liabilities</w:t>
            </w:r>
          </w:p>
        </w:tc>
        <w:tc>
          <w:tcPr>
            <w:tcW w:w="2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(645)</w:t>
            </w:r>
          </w:p>
        </w:tc>
        <w:tc>
          <w:tcPr>
            <w:tcW w:w="14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Calibri" w:cs="Calibri" w:eastAsia="Calibri" w:hAnsi="Calibri"/>
                <w:sz w:val="18"/>
                <w:szCs w:val="18"/>
                <w:color w:val="auto"/>
              </w:rPr>
              <w:t>5,285</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9E9E9"/>
            </w:tcBorders>
            <w:shd w:val="clear" w:color="auto" w:fill="E9E9E9"/>
          </w:tcPr>
          <w:p>
            <w:pPr>
              <w:ind w:left="800"/>
              <w:spacing w:after="0" w:line="210" w:lineRule="exact"/>
              <w:rPr>
                <w:sz w:val="20"/>
                <w:szCs w:val="20"/>
                <w:color w:val="auto"/>
              </w:rPr>
            </w:pPr>
            <w:r>
              <w:rPr>
                <w:rFonts w:ascii="Calibri" w:cs="Calibri" w:eastAsia="Calibri" w:hAnsi="Calibri"/>
                <w:sz w:val="18"/>
                <w:szCs w:val="18"/>
                <w:color w:val="auto"/>
              </w:rPr>
              <w:t>Net cash used in operating activities</w:t>
            </w: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80" w:type="dxa"/>
            <w:vAlign w:val="bottom"/>
            <w:tcBorders>
              <w:bottom w:val="single" w:sz="8" w:color="auto"/>
            </w:tcBorders>
            <w:shd w:val="clear" w:color="auto" w:fill="E9E9E9"/>
          </w:tcPr>
          <w:p>
            <w:pPr>
              <w:jc w:val="right"/>
              <w:spacing w:after="0" w:line="210" w:lineRule="exact"/>
              <w:rPr>
                <w:sz w:val="20"/>
                <w:szCs w:val="20"/>
                <w:color w:val="auto"/>
              </w:rPr>
            </w:pPr>
            <w:r>
              <w:rPr>
                <w:rFonts w:ascii="Calibri" w:cs="Calibri" w:eastAsia="Calibri" w:hAnsi="Calibri"/>
                <w:sz w:val="18"/>
                <w:szCs w:val="18"/>
                <w:color w:val="auto"/>
              </w:rPr>
              <w:t>(88,100)</w:t>
            </w:r>
          </w:p>
        </w:tc>
        <w:tc>
          <w:tcPr>
            <w:tcW w:w="140" w:type="dxa"/>
            <w:vAlign w:val="bottom"/>
            <w:tcBorders>
              <w:bottom w:val="single" w:sz="8" w:color="E9E9E9"/>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280" w:type="dxa"/>
            <w:vAlign w:val="bottom"/>
            <w:tcBorders>
              <w:bottom w:val="single" w:sz="8" w:color="auto"/>
            </w:tcBorders>
            <w:shd w:val="clear" w:color="auto" w:fill="E9E9E9"/>
          </w:tcPr>
          <w:p>
            <w:pPr>
              <w:jc w:val="right"/>
              <w:spacing w:after="0" w:line="210" w:lineRule="exact"/>
              <w:rPr>
                <w:sz w:val="20"/>
                <w:szCs w:val="20"/>
                <w:color w:val="auto"/>
              </w:rPr>
            </w:pPr>
            <w:r>
              <w:rPr>
                <w:rFonts w:ascii="Calibri" w:cs="Calibri" w:eastAsia="Calibri" w:hAnsi="Calibri"/>
                <w:sz w:val="18"/>
                <w:szCs w:val="18"/>
                <w:color w:val="auto"/>
              </w:rPr>
              <w:t>(3,084)</w:t>
            </w:r>
          </w:p>
        </w:tc>
        <w:tc>
          <w:tcPr>
            <w:tcW w:w="0" w:type="dxa"/>
            <w:vAlign w:val="bottom"/>
          </w:tcPr>
          <w:p>
            <w:pPr>
              <w:spacing w:after="0"/>
              <w:rPr>
                <w:sz w:val="1"/>
                <w:szCs w:val="1"/>
                <w:color w:val="auto"/>
              </w:rPr>
            </w:pPr>
          </w:p>
        </w:tc>
      </w:tr>
      <w:tr>
        <w:trPr>
          <w:trHeight w:val="190"/>
        </w:trPr>
        <w:tc>
          <w:tcPr>
            <w:tcW w:w="6420" w:type="dxa"/>
            <w:vAlign w:val="bottom"/>
          </w:tcPr>
          <w:p>
            <w:pPr>
              <w:spacing w:after="0" w:line="190" w:lineRule="exact"/>
              <w:rPr>
                <w:sz w:val="20"/>
                <w:szCs w:val="20"/>
                <w:color w:val="auto"/>
              </w:rPr>
            </w:pPr>
            <w:r>
              <w:rPr>
                <w:rFonts w:ascii="Calibri" w:cs="Calibri" w:eastAsia="Calibri" w:hAnsi="Calibri"/>
                <w:sz w:val="18"/>
                <w:szCs w:val="18"/>
                <w:b w:val="1"/>
                <w:bCs w:val="1"/>
                <w:color w:val="auto"/>
              </w:rPr>
              <w:t>Cash Flows From Investing Activities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420" w:type="dxa"/>
            <w:vAlign w:val="bottom"/>
            <w:shd w:val="clear" w:color="auto" w:fill="E9E9E9"/>
          </w:tcPr>
          <w:p>
            <w:pPr>
              <w:ind w:left="400"/>
              <w:spacing w:after="0" w:line="208" w:lineRule="exact"/>
              <w:rPr>
                <w:sz w:val="20"/>
                <w:szCs w:val="20"/>
                <w:color w:val="auto"/>
              </w:rPr>
            </w:pPr>
            <w:r>
              <w:rPr>
                <w:rFonts w:ascii="Calibri" w:cs="Calibri" w:eastAsia="Calibri" w:hAnsi="Calibri"/>
                <w:sz w:val="18"/>
                <w:szCs w:val="18"/>
                <w:color w:val="auto"/>
              </w:rPr>
              <w:t>Net working capital settlement in association with business</w:t>
            </w: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80" w:type="dxa"/>
            <w:vAlign w:val="bottom"/>
            <w:vMerge w:val="restart"/>
            <w:shd w:val="clear" w:color="auto" w:fill="E9E9E9"/>
          </w:tcPr>
          <w:p>
            <w:pPr>
              <w:jc w:val="right"/>
              <w:ind w:right="10"/>
              <w:spacing w:after="0"/>
              <w:rPr>
                <w:sz w:val="20"/>
                <w:szCs w:val="20"/>
                <w:color w:val="auto"/>
              </w:rPr>
            </w:pPr>
            <w:r>
              <w:rPr>
                <w:rFonts w:ascii="Calibri" w:cs="Calibri" w:eastAsia="Calibri" w:hAnsi="Calibri"/>
                <w:sz w:val="18"/>
                <w:szCs w:val="18"/>
                <w:color w:val="auto"/>
              </w:rPr>
              <w:t>—</w:t>
            </w:r>
          </w:p>
        </w:tc>
        <w:tc>
          <w:tcPr>
            <w:tcW w:w="1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280" w:type="dxa"/>
            <w:vAlign w:val="bottom"/>
            <w:vMerge w:val="restart"/>
            <w:shd w:val="clear" w:color="auto" w:fill="E9E9E9"/>
          </w:tcPr>
          <w:p>
            <w:pPr>
              <w:jc w:val="right"/>
              <w:ind w:right="10"/>
              <w:spacing w:after="0"/>
              <w:rPr>
                <w:sz w:val="20"/>
                <w:szCs w:val="20"/>
                <w:color w:val="auto"/>
              </w:rPr>
            </w:pPr>
            <w:r>
              <w:rPr>
                <w:rFonts w:ascii="Calibri" w:cs="Calibri" w:eastAsia="Calibri" w:hAnsi="Calibri"/>
                <w:sz w:val="18"/>
                <w:szCs w:val="18"/>
                <w:color w:val="auto"/>
              </w:rPr>
              <w:t>32,000</w:t>
            </w:r>
          </w:p>
        </w:tc>
        <w:tc>
          <w:tcPr>
            <w:tcW w:w="0" w:type="dxa"/>
            <w:vAlign w:val="bottom"/>
          </w:tcPr>
          <w:p>
            <w:pPr>
              <w:spacing w:after="0"/>
              <w:rPr>
                <w:sz w:val="1"/>
                <w:szCs w:val="1"/>
                <w:color w:val="auto"/>
              </w:rPr>
            </w:pPr>
          </w:p>
        </w:tc>
      </w:tr>
      <w:tr>
        <w:trPr>
          <w:trHeight w:val="231"/>
        </w:trPr>
        <w:tc>
          <w:tcPr>
            <w:tcW w:w="6420" w:type="dxa"/>
            <w:vAlign w:val="bottom"/>
            <w:shd w:val="clear" w:color="auto" w:fill="E9E9E9"/>
          </w:tcPr>
          <w:p>
            <w:pPr>
              <w:ind w:left="520"/>
              <w:spacing w:after="0"/>
              <w:rPr>
                <w:sz w:val="20"/>
                <w:szCs w:val="20"/>
                <w:color w:val="auto"/>
              </w:rPr>
            </w:pPr>
            <w:r>
              <w:rPr>
                <w:rFonts w:ascii="Calibri" w:cs="Calibri" w:eastAsia="Calibri" w:hAnsi="Calibri"/>
                <w:sz w:val="18"/>
                <w:szCs w:val="18"/>
                <w:color w:val="auto"/>
              </w:rPr>
              <w:t>combination</w:t>
            </w:r>
          </w:p>
        </w:tc>
        <w:tc>
          <w:tcPr>
            <w:tcW w:w="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1280" w:type="dxa"/>
            <w:vAlign w:val="bottom"/>
            <w:vMerge w:val="continue"/>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1280" w:type="dxa"/>
            <w:vAlign w:val="bottom"/>
            <w:vMerge w:val="continue"/>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Purchases of property, plant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(7,042)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(10,443)</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400"/>
              <w:spacing w:after="0"/>
              <w:rPr>
                <w:sz w:val="20"/>
                <w:szCs w:val="20"/>
                <w:color w:val="auto"/>
              </w:rPr>
            </w:pPr>
            <w:r>
              <w:rPr>
                <w:rFonts w:ascii="Calibri" w:cs="Calibri" w:eastAsia="Calibri" w:hAnsi="Calibri"/>
                <w:sz w:val="18"/>
                <w:szCs w:val="18"/>
                <w:color w:val="auto"/>
              </w:rPr>
              <w:t>Proceeds from sale of assets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35,975</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1,722</w:t>
            </w: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Unconsolidated joint venture equity contributions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(23,170)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(19,709)</w:t>
            </w:r>
          </w:p>
        </w:tc>
        <w:tc>
          <w:tcPr>
            <w:tcW w:w="0" w:type="dxa"/>
            <w:vAlign w:val="bottom"/>
          </w:tcPr>
          <w:p>
            <w:pPr>
              <w:spacing w:after="0"/>
              <w:rPr>
                <w:sz w:val="1"/>
                <w:szCs w:val="1"/>
                <w:color w:val="auto"/>
              </w:rPr>
            </w:pPr>
          </w:p>
        </w:tc>
      </w:tr>
      <w:tr>
        <w:trPr>
          <w:trHeight w:val="240"/>
        </w:trPr>
        <w:tc>
          <w:tcPr>
            <w:tcW w:w="6420" w:type="dxa"/>
            <w:vAlign w:val="bottom"/>
            <w:tcBorders>
              <w:bottom w:val="single" w:sz="8" w:color="E9E9E9"/>
            </w:tcBorders>
            <w:shd w:val="clear" w:color="auto" w:fill="E9E9E9"/>
          </w:tcPr>
          <w:p>
            <w:pPr>
              <w:ind w:left="400"/>
              <w:spacing w:after="0"/>
              <w:rPr>
                <w:sz w:val="20"/>
                <w:szCs w:val="20"/>
                <w:color w:val="auto"/>
              </w:rPr>
            </w:pPr>
            <w:r>
              <w:rPr>
                <w:rFonts w:ascii="Calibri" w:cs="Calibri" w:eastAsia="Calibri" w:hAnsi="Calibri"/>
                <w:sz w:val="18"/>
                <w:szCs w:val="18"/>
                <w:color w:val="auto"/>
              </w:rPr>
              <w:t>Return of investment in unconsolidated joint ventures</w:t>
            </w:r>
          </w:p>
        </w:tc>
        <w:tc>
          <w:tcPr>
            <w:tcW w:w="20" w:type="dxa"/>
            <w:vAlign w:val="bottom"/>
            <w:tcBorders>
              <w:bottom w:val="single" w:sz="8" w:color="E9E9E9"/>
            </w:tcBorders>
            <w:shd w:val="clear" w:color="auto" w:fill="E9E9E9"/>
          </w:tcPr>
          <w:p>
            <w:pPr>
              <w:spacing w:after="0"/>
              <w:rPr>
                <w:sz w:val="20"/>
                <w:szCs w:val="20"/>
                <w:color w:val="auto"/>
              </w:rPr>
            </w:pPr>
          </w:p>
        </w:tc>
        <w:tc>
          <w:tcPr>
            <w:tcW w:w="100" w:type="dxa"/>
            <w:vAlign w:val="bottom"/>
            <w:tcBorders>
              <w:bottom w:val="single" w:sz="8" w:color="auto"/>
            </w:tcBorders>
            <w:shd w:val="clear" w:color="auto" w:fill="E9E9E9"/>
          </w:tcPr>
          <w:p>
            <w:pPr>
              <w:spacing w:after="0"/>
              <w:rPr>
                <w:sz w:val="20"/>
                <w:szCs w:val="20"/>
                <w:color w:val="auto"/>
              </w:rPr>
            </w:pPr>
          </w:p>
        </w:tc>
        <w:tc>
          <w:tcPr>
            <w:tcW w:w="1280" w:type="dxa"/>
            <w:vAlign w:val="bottom"/>
            <w:tcBorders>
              <w:bottom w:val="single" w:sz="8" w:color="auto"/>
            </w:tcBorders>
            <w:shd w:val="clear" w:color="auto" w:fill="E9E9E9"/>
          </w:tcPr>
          <w:p>
            <w:pPr>
              <w:jc w:val="right"/>
              <w:ind w:right="10"/>
              <w:spacing w:after="0"/>
              <w:rPr>
                <w:sz w:val="20"/>
                <w:szCs w:val="20"/>
                <w:color w:val="auto"/>
              </w:rPr>
            </w:pPr>
            <w:r>
              <w:rPr>
                <w:rFonts w:ascii="Calibri" w:cs="Calibri" w:eastAsia="Calibri" w:hAnsi="Calibri"/>
                <w:sz w:val="18"/>
                <w:szCs w:val="18"/>
                <w:color w:val="auto"/>
              </w:rPr>
              <w:t>16,287</w:t>
            </w:r>
          </w:p>
        </w:tc>
        <w:tc>
          <w:tcPr>
            <w:tcW w:w="140" w:type="dxa"/>
            <w:vAlign w:val="bottom"/>
            <w:tcBorders>
              <w:bottom w:val="single" w:sz="8" w:color="E9E9E9"/>
            </w:tcBorders>
            <w:shd w:val="clear" w:color="auto" w:fill="E9E9E9"/>
          </w:tcPr>
          <w:p>
            <w:pPr>
              <w:spacing w:after="0"/>
              <w:rPr>
                <w:sz w:val="20"/>
                <w:szCs w:val="20"/>
                <w:color w:val="auto"/>
              </w:rPr>
            </w:pPr>
          </w:p>
        </w:tc>
        <w:tc>
          <w:tcPr>
            <w:tcW w:w="120" w:type="dxa"/>
            <w:vAlign w:val="bottom"/>
            <w:tcBorders>
              <w:bottom w:val="single" w:sz="8" w:color="auto"/>
            </w:tcBorders>
            <w:shd w:val="clear" w:color="auto" w:fill="E9E9E9"/>
          </w:tcPr>
          <w:p>
            <w:pPr>
              <w:spacing w:after="0"/>
              <w:rPr>
                <w:sz w:val="20"/>
                <w:szCs w:val="20"/>
                <w:color w:val="auto"/>
              </w:rPr>
            </w:pPr>
          </w:p>
        </w:tc>
        <w:tc>
          <w:tcPr>
            <w:tcW w:w="1280" w:type="dxa"/>
            <w:vAlign w:val="bottom"/>
            <w:tcBorders>
              <w:bottom w:val="single" w:sz="8" w:color="auto"/>
            </w:tcBorders>
            <w:shd w:val="clear" w:color="auto" w:fill="E9E9E9"/>
          </w:tcPr>
          <w:p>
            <w:pPr>
              <w:jc w:val="right"/>
              <w:ind w:right="10"/>
              <w:spacing w:after="0"/>
              <w:rPr>
                <w:sz w:val="20"/>
                <w:szCs w:val="20"/>
                <w:color w:val="auto"/>
              </w:rPr>
            </w:pPr>
            <w:r>
              <w:rPr>
                <w:rFonts w:ascii="Calibri" w:cs="Calibri" w:eastAsia="Calibri" w:hAnsi="Calibri"/>
                <w:sz w:val="18"/>
                <w:szCs w:val="18"/>
                <w:color w:val="auto"/>
              </w:rPr>
              <w:t>627</w:t>
            </w:r>
          </w:p>
        </w:tc>
        <w:tc>
          <w:tcPr>
            <w:tcW w:w="0" w:type="dxa"/>
            <w:vAlign w:val="bottom"/>
          </w:tcPr>
          <w:p>
            <w:pPr>
              <w:spacing w:after="0"/>
              <w:rPr>
                <w:sz w:val="1"/>
                <w:szCs w:val="1"/>
                <w:color w:val="auto"/>
              </w:rPr>
            </w:pPr>
          </w:p>
        </w:tc>
      </w:tr>
      <w:tr>
        <w:trPr>
          <w:trHeight w:val="190"/>
        </w:trPr>
        <w:tc>
          <w:tcPr>
            <w:tcW w:w="6420" w:type="dxa"/>
            <w:vAlign w:val="bottom"/>
            <w:tcBorders>
              <w:bottom w:val="single" w:sz="8" w:color="E9E9E9"/>
            </w:tcBorders>
          </w:tcPr>
          <w:p>
            <w:pPr>
              <w:ind w:left="800"/>
              <w:spacing w:after="0" w:line="190" w:lineRule="exact"/>
              <w:rPr>
                <w:sz w:val="20"/>
                <w:szCs w:val="20"/>
                <w:color w:val="auto"/>
              </w:rPr>
            </w:pPr>
            <w:r>
              <w:rPr>
                <w:rFonts w:ascii="Calibri" w:cs="Calibri" w:eastAsia="Calibri" w:hAnsi="Calibri"/>
                <w:sz w:val="18"/>
                <w:szCs w:val="18"/>
                <w:color w:val="auto"/>
              </w:rPr>
              <w:t>Net cash provided by investing activities</w:t>
            </w:r>
          </w:p>
        </w:tc>
        <w:tc>
          <w:tcPr>
            <w:tcW w:w="20" w:type="dxa"/>
            <w:vAlign w:val="bottom"/>
            <w:tcBorders>
              <w:bottom w:val="single" w:sz="8" w:color="E9E9E9"/>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
              <w:spacing w:after="0" w:line="190" w:lineRule="exact"/>
              <w:rPr>
                <w:sz w:val="20"/>
                <w:szCs w:val="20"/>
                <w:color w:val="auto"/>
              </w:rPr>
            </w:pPr>
            <w:r>
              <w:rPr>
                <w:rFonts w:ascii="Calibri" w:cs="Calibri" w:eastAsia="Calibri" w:hAnsi="Calibri"/>
                <w:sz w:val="18"/>
                <w:szCs w:val="18"/>
                <w:color w:val="auto"/>
              </w:rPr>
              <w:t>22,050</w:t>
            </w:r>
          </w:p>
        </w:tc>
        <w:tc>
          <w:tcPr>
            <w:tcW w:w="140" w:type="dxa"/>
            <w:vAlign w:val="bottom"/>
            <w:tcBorders>
              <w:bottom w:val="single" w:sz="8" w:color="E9E9E9"/>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
              <w:spacing w:after="0" w:line="190" w:lineRule="exact"/>
              <w:rPr>
                <w:sz w:val="20"/>
                <w:szCs w:val="20"/>
                <w:color w:val="auto"/>
              </w:rPr>
            </w:pPr>
            <w:r>
              <w:rPr>
                <w:rFonts w:ascii="Calibri" w:cs="Calibri" w:eastAsia="Calibri" w:hAnsi="Calibri"/>
                <w:sz w:val="18"/>
                <w:szCs w:val="18"/>
                <w:color w:val="auto"/>
              </w:rPr>
              <w:t>4,197</w:t>
            </w:r>
          </w:p>
        </w:tc>
        <w:tc>
          <w:tcPr>
            <w:tcW w:w="0" w:type="dxa"/>
            <w:vAlign w:val="bottom"/>
          </w:tcPr>
          <w:p>
            <w:pPr>
              <w:spacing w:after="0"/>
              <w:rPr>
                <w:sz w:val="1"/>
                <w:szCs w:val="1"/>
                <w:color w:val="auto"/>
              </w:rPr>
            </w:pPr>
          </w:p>
        </w:tc>
      </w:tr>
      <w:tr>
        <w:trPr>
          <w:trHeight w:val="210"/>
        </w:trPr>
        <w:tc>
          <w:tcPr>
            <w:tcW w:w="6420" w:type="dxa"/>
            <w:vAlign w:val="bottom"/>
            <w:shd w:val="clear" w:color="auto" w:fill="E9E9E9"/>
          </w:tcPr>
          <w:p>
            <w:pPr>
              <w:spacing w:after="0" w:line="210" w:lineRule="exact"/>
              <w:rPr>
                <w:sz w:val="20"/>
                <w:szCs w:val="20"/>
                <w:color w:val="auto"/>
              </w:rPr>
            </w:pPr>
            <w:r>
              <w:rPr>
                <w:rFonts w:ascii="Calibri" w:cs="Calibri" w:eastAsia="Calibri" w:hAnsi="Calibri"/>
                <w:sz w:val="18"/>
                <w:szCs w:val="18"/>
                <w:b w:val="1"/>
                <w:bCs w:val="1"/>
                <w:color w:val="auto"/>
              </w:rPr>
              <w:t>Cash Flows From Financing Activities</w:t>
            </w:r>
          </w:p>
        </w:tc>
        <w:tc>
          <w:tcPr>
            <w:tcW w:w="2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2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Payments on finance lease obligation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auto"/>
              </w:rPr>
              <w:t>(303)</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400"/>
              <w:spacing w:after="0"/>
              <w:rPr>
                <w:sz w:val="20"/>
                <w:szCs w:val="20"/>
                <w:color w:val="auto"/>
              </w:rPr>
            </w:pPr>
            <w:r>
              <w:rPr>
                <w:rFonts w:ascii="Calibri" w:cs="Calibri" w:eastAsia="Calibri" w:hAnsi="Calibri"/>
                <w:sz w:val="18"/>
                <w:szCs w:val="18"/>
                <w:color w:val="auto"/>
              </w:rPr>
              <w:t>Net borrowings on revolving credit facility</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29,915</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Contributions from non-controlling interests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301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400"/>
              <w:spacing w:after="0"/>
              <w:rPr>
                <w:sz w:val="20"/>
                <w:szCs w:val="20"/>
                <w:color w:val="auto"/>
              </w:rPr>
            </w:pPr>
            <w:r>
              <w:rPr>
                <w:rFonts w:ascii="Calibri" w:cs="Calibri" w:eastAsia="Calibri" w:hAnsi="Calibri"/>
                <w:sz w:val="18"/>
                <w:szCs w:val="18"/>
                <w:color w:val="auto"/>
              </w:rPr>
              <w:t>Distributions to non-controlling interests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(260)</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(628)</w:t>
            </w: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rPr>
                <w:sz w:val="20"/>
                <w:szCs w:val="20"/>
                <w:color w:val="auto"/>
              </w:rPr>
            </w:pPr>
            <w:r>
              <w:rPr>
                <w:rFonts w:ascii="Calibri" w:cs="Calibri" w:eastAsia="Calibri" w:hAnsi="Calibri"/>
                <w:sz w:val="18"/>
                <w:szCs w:val="18"/>
                <w:color w:val="auto"/>
              </w:rPr>
              <w:t>Proceeds from IPO</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25,025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ind w:left="400"/>
              <w:spacing w:after="0"/>
              <w:rPr>
                <w:sz w:val="20"/>
                <w:szCs w:val="20"/>
                <w:color w:val="auto"/>
              </w:rPr>
            </w:pPr>
            <w:r>
              <w:rPr>
                <w:rFonts w:ascii="Calibri" w:cs="Calibri" w:eastAsia="Calibri" w:hAnsi="Calibri"/>
                <w:sz w:val="18"/>
                <w:szCs w:val="18"/>
                <w:color w:val="auto"/>
              </w:rPr>
              <w:t>Payments of IPO costs</w:t>
            </w: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8"/>
                <w:szCs w:val="18"/>
                <w:color w:val="auto"/>
              </w:rPr>
              <w:t>(5,961)</w:t>
            </w:r>
          </w:p>
        </w:tc>
        <w:tc>
          <w:tcPr>
            <w:tcW w:w="1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80" w:type="dxa"/>
            <w:vAlign w:val="bottom"/>
            <w:shd w:val="clear" w:color="auto" w:fill="E9E9E9"/>
          </w:tcPr>
          <w:p>
            <w:pPr>
              <w:jc w:val="right"/>
              <w:ind w:right="1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tcBorders>
              <w:bottom w:val="single" w:sz="8" w:color="E9E9E9"/>
            </w:tcBorders>
          </w:tcPr>
          <w:p>
            <w:pPr>
              <w:ind w:left="400"/>
              <w:spacing w:after="0"/>
              <w:rPr>
                <w:sz w:val="20"/>
                <w:szCs w:val="20"/>
                <w:color w:val="auto"/>
              </w:rPr>
            </w:pPr>
            <w:r>
              <w:rPr>
                <w:rFonts w:ascii="Calibri" w:cs="Calibri" w:eastAsia="Calibri" w:hAnsi="Calibri"/>
                <w:sz w:val="18"/>
                <w:szCs w:val="18"/>
                <w:color w:val="auto"/>
              </w:rPr>
              <w:t>Other</w:t>
            </w:r>
          </w:p>
        </w:tc>
        <w:tc>
          <w:tcPr>
            <w:tcW w:w="2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(842)</w:t>
            </w:r>
          </w:p>
        </w:tc>
        <w:tc>
          <w:tcPr>
            <w:tcW w:w="14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9E9E9"/>
            </w:tcBorders>
            <w:shd w:val="clear" w:color="auto" w:fill="E9E9E9"/>
          </w:tcPr>
          <w:p>
            <w:pPr>
              <w:ind w:left="800"/>
              <w:spacing w:after="0" w:line="210" w:lineRule="exact"/>
              <w:rPr>
                <w:sz w:val="20"/>
                <w:szCs w:val="20"/>
                <w:color w:val="auto"/>
              </w:rPr>
            </w:pPr>
            <w:r>
              <w:rPr>
                <w:rFonts w:ascii="Calibri" w:cs="Calibri" w:eastAsia="Calibri" w:hAnsi="Calibri"/>
                <w:sz w:val="18"/>
                <w:szCs w:val="18"/>
                <w:color w:val="auto"/>
              </w:rPr>
              <w:t>Net cash provided by (used in) financing activities</w:t>
            </w: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80" w:type="dxa"/>
            <w:vAlign w:val="bottom"/>
            <w:tcBorders>
              <w:bottom w:val="single" w:sz="8" w:color="auto"/>
            </w:tcBorders>
            <w:shd w:val="clear" w:color="auto" w:fill="E9E9E9"/>
          </w:tcPr>
          <w:p>
            <w:pPr>
              <w:jc w:val="right"/>
              <w:ind w:right="10"/>
              <w:spacing w:after="0" w:line="210" w:lineRule="exact"/>
              <w:rPr>
                <w:sz w:val="20"/>
                <w:szCs w:val="20"/>
                <w:color w:val="auto"/>
              </w:rPr>
            </w:pPr>
            <w:r>
              <w:rPr>
                <w:rFonts w:ascii="Calibri" w:cs="Calibri" w:eastAsia="Calibri" w:hAnsi="Calibri"/>
                <w:sz w:val="18"/>
                <w:szCs w:val="18"/>
                <w:color w:val="auto"/>
              </w:rPr>
              <w:t>47,875</w:t>
            </w:r>
          </w:p>
        </w:tc>
        <w:tc>
          <w:tcPr>
            <w:tcW w:w="140" w:type="dxa"/>
            <w:vAlign w:val="bottom"/>
            <w:tcBorders>
              <w:bottom w:val="single" w:sz="8" w:color="E9E9E9"/>
            </w:tcBorders>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280" w:type="dxa"/>
            <w:vAlign w:val="bottom"/>
            <w:tcBorders>
              <w:bottom w:val="single" w:sz="8" w:color="auto"/>
            </w:tcBorders>
            <w:shd w:val="clear" w:color="auto" w:fill="E9E9E9"/>
          </w:tcPr>
          <w:p>
            <w:pPr>
              <w:jc w:val="right"/>
              <w:spacing w:after="0" w:line="210" w:lineRule="exact"/>
              <w:rPr>
                <w:sz w:val="20"/>
                <w:szCs w:val="20"/>
                <w:color w:val="auto"/>
              </w:rPr>
            </w:pPr>
            <w:r>
              <w:rPr>
                <w:rFonts w:ascii="Calibri" w:cs="Calibri" w:eastAsia="Calibri" w:hAnsi="Calibri"/>
                <w:sz w:val="18"/>
                <w:szCs w:val="18"/>
                <w:color w:val="auto"/>
              </w:rPr>
              <w:t>(931)</w:t>
            </w:r>
          </w:p>
        </w:tc>
        <w:tc>
          <w:tcPr>
            <w:tcW w:w="0" w:type="dxa"/>
            <w:vAlign w:val="bottom"/>
          </w:tcPr>
          <w:p>
            <w:pPr>
              <w:spacing w:after="0"/>
              <w:rPr>
                <w:sz w:val="1"/>
                <w:szCs w:val="1"/>
                <w:color w:val="auto"/>
              </w:rPr>
            </w:pPr>
          </w:p>
        </w:tc>
      </w:tr>
      <w:tr>
        <w:trPr>
          <w:trHeight w:val="190"/>
        </w:trPr>
        <w:tc>
          <w:tcPr>
            <w:tcW w:w="6420" w:type="dxa"/>
            <w:vAlign w:val="bottom"/>
          </w:tcPr>
          <w:p>
            <w:pPr>
              <w:spacing w:after="0" w:line="190"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line="190" w:lineRule="exact"/>
              <w:rPr>
                <w:sz w:val="20"/>
                <w:szCs w:val="20"/>
                <w:color w:val="auto"/>
              </w:rPr>
            </w:pPr>
            <w:r>
              <w:rPr>
                <w:rFonts w:ascii="Calibri" w:cs="Calibri" w:eastAsia="Calibri" w:hAnsi="Calibri"/>
                <w:sz w:val="18"/>
                <w:szCs w:val="18"/>
                <w:color w:val="auto"/>
              </w:rPr>
              <w:t>(18,175)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0"/>
              <w:spacing w:after="0" w:line="190" w:lineRule="exact"/>
              <w:rPr>
                <w:sz w:val="20"/>
                <w:szCs w:val="20"/>
                <w:color w:val="auto"/>
              </w:rPr>
            </w:pPr>
            <w:r>
              <w:rPr>
                <w:rFonts w:ascii="Calibri" w:cs="Calibri" w:eastAsia="Calibri" w:hAnsi="Calibri"/>
                <w:sz w:val="18"/>
                <w:szCs w:val="18"/>
                <w:color w:val="auto"/>
              </w:rPr>
              <w:t>182</w:t>
            </w:r>
          </w:p>
        </w:tc>
        <w:tc>
          <w:tcPr>
            <w:tcW w:w="0" w:type="dxa"/>
            <w:vAlign w:val="bottom"/>
          </w:tcPr>
          <w:p>
            <w:pPr>
              <w:spacing w:after="0"/>
              <w:rPr>
                <w:sz w:val="1"/>
                <w:szCs w:val="1"/>
                <w:color w:val="auto"/>
              </w:rPr>
            </w:pPr>
          </w:p>
        </w:tc>
      </w:tr>
      <w:tr>
        <w:trPr>
          <w:trHeight w:val="240"/>
        </w:trPr>
        <w:tc>
          <w:tcPr>
            <w:tcW w:w="6420" w:type="dxa"/>
            <w:vAlign w:val="bottom"/>
            <w:tcBorders>
              <w:bottom w:val="single" w:sz="8" w:color="E9E9E9"/>
            </w:tcBorders>
            <w:shd w:val="clear" w:color="auto" w:fill="E9E9E9"/>
          </w:tcPr>
          <w:p>
            <w:pPr>
              <w:ind w:left="400"/>
              <w:spacing w:after="0"/>
              <w:rPr>
                <w:sz w:val="20"/>
                <w:szCs w:val="20"/>
                <w:color w:val="auto"/>
              </w:rPr>
            </w:pPr>
            <w:r>
              <w:rPr>
                <w:rFonts w:ascii="Calibri" w:cs="Calibri" w:eastAsia="Calibri" w:hAnsi="Calibri"/>
                <w:sz w:val="18"/>
                <w:szCs w:val="18"/>
                <w:color w:val="auto"/>
              </w:rPr>
              <w:t>Cash, cash equivalents and restricted cash, beginning of period</w:t>
            </w:r>
          </w:p>
        </w:tc>
        <w:tc>
          <w:tcPr>
            <w:tcW w:w="20" w:type="dxa"/>
            <w:vAlign w:val="bottom"/>
            <w:tcBorders>
              <w:bottom w:val="single" w:sz="8" w:color="E9E9E9"/>
            </w:tcBorders>
            <w:shd w:val="clear" w:color="auto" w:fill="E9E9E9"/>
          </w:tcPr>
          <w:p>
            <w:pPr>
              <w:spacing w:after="0"/>
              <w:rPr>
                <w:sz w:val="20"/>
                <w:szCs w:val="20"/>
                <w:color w:val="auto"/>
              </w:rPr>
            </w:pPr>
          </w:p>
        </w:tc>
        <w:tc>
          <w:tcPr>
            <w:tcW w:w="100" w:type="dxa"/>
            <w:vAlign w:val="bottom"/>
            <w:tcBorders>
              <w:bottom w:val="single" w:sz="8" w:color="auto"/>
            </w:tcBorders>
            <w:shd w:val="clear" w:color="auto" w:fill="E9E9E9"/>
          </w:tcPr>
          <w:p>
            <w:pPr>
              <w:spacing w:after="0"/>
              <w:rPr>
                <w:sz w:val="20"/>
                <w:szCs w:val="20"/>
                <w:color w:val="auto"/>
              </w:rPr>
            </w:pPr>
          </w:p>
        </w:tc>
        <w:tc>
          <w:tcPr>
            <w:tcW w:w="1280" w:type="dxa"/>
            <w:vAlign w:val="bottom"/>
            <w:tcBorders>
              <w:bottom w:val="single" w:sz="8" w:color="auto"/>
            </w:tcBorders>
            <w:shd w:val="clear" w:color="auto" w:fill="E9E9E9"/>
          </w:tcPr>
          <w:p>
            <w:pPr>
              <w:jc w:val="right"/>
              <w:ind w:right="10"/>
              <w:spacing w:after="0"/>
              <w:rPr>
                <w:sz w:val="20"/>
                <w:szCs w:val="20"/>
                <w:color w:val="auto"/>
              </w:rPr>
            </w:pPr>
            <w:r>
              <w:rPr>
                <w:rFonts w:ascii="Calibri" w:cs="Calibri" w:eastAsia="Calibri" w:hAnsi="Calibri"/>
                <w:sz w:val="18"/>
                <w:szCs w:val="18"/>
                <w:color w:val="auto"/>
              </w:rPr>
              <w:t>82,085</w:t>
            </w:r>
          </w:p>
        </w:tc>
        <w:tc>
          <w:tcPr>
            <w:tcW w:w="140" w:type="dxa"/>
            <w:vAlign w:val="bottom"/>
            <w:tcBorders>
              <w:bottom w:val="single" w:sz="8" w:color="E9E9E9"/>
            </w:tcBorders>
            <w:shd w:val="clear" w:color="auto" w:fill="E9E9E9"/>
          </w:tcPr>
          <w:p>
            <w:pPr>
              <w:spacing w:after="0"/>
              <w:rPr>
                <w:sz w:val="20"/>
                <w:szCs w:val="20"/>
                <w:color w:val="auto"/>
              </w:rPr>
            </w:pPr>
          </w:p>
        </w:tc>
        <w:tc>
          <w:tcPr>
            <w:tcW w:w="120" w:type="dxa"/>
            <w:vAlign w:val="bottom"/>
            <w:tcBorders>
              <w:bottom w:val="single" w:sz="8" w:color="auto"/>
            </w:tcBorders>
            <w:shd w:val="clear" w:color="auto" w:fill="E9E9E9"/>
          </w:tcPr>
          <w:p>
            <w:pPr>
              <w:spacing w:after="0"/>
              <w:rPr>
                <w:sz w:val="20"/>
                <w:szCs w:val="20"/>
                <w:color w:val="auto"/>
              </w:rPr>
            </w:pPr>
          </w:p>
        </w:tc>
        <w:tc>
          <w:tcPr>
            <w:tcW w:w="1280" w:type="dxa"/>
            <w:vAlign w:val="bottom"/>
            <w:tcBorders>
              <w:bottom w:val="single" w:sz="8" w:color="auto"/>
            </w:tcBorders>
            <w:shd w:val="clear" w:color="auto" w:fill="E9E9E9"/>
          </w:tcPr>
          <w:p>
            <w:pPr>
              <w:jc w:val="right"/>
              <w:ind w:right="10"/>
              <w:spacing w:after="0"/>
              <w:rPr>
                <w:sz w:val="20"/>
                <w:szCs w:val="20"/>
                <w:color w:val="auto"/>
              </w:rPr>
            </w:pPr>
            <w:r>
              <w:rPr>
                <w:rFonts w:ascii="Calibri" w:cs="Calibri" w:eastAsia="Calibri" w:hAnsi="Calibri"/>
                <w:sz w:val="18"/>
                <w:szCs w:val="18"/>
                <w:color w:val="auto"/>
              </w:rPr>
              <w:t>81,903</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9E9E9"/>
            </w:tcBorders>
          </w:tcPr>
          <w:p>
            <w:pPr>
              <w:ind w:left="400"/>
              <w:spacing w:after="0" w:line="190" w:lineRule="exact"/>
              <w:rPr>
                <w:sz w:val="20"/>
                <w:szCs w:val="20"/>
                <w:color w:val="auto"/>
              </w:rPr>
            </w:pPr>
            <w:r>
              <w:rPr>
                <w:rFonts w:ascii="Calibri" w:cs="Calibri" w:eastAsia="Calibri" w:hAnsi="Calibri"/>
                <w:sz w:val="18"/>
                <w:szCs w:val="18"/>
                <w:color w:val="auto"/>
              </w:rPr>
              <w:t>Cash, cash equivalents and restricted cash, end of period</w:t>
            </w:r>
          </w:p>
        </w:tc>
        <w:tc>
          <w:tcPr>
            <w:tcW w:w="2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w w:val="73"/>
              </w:rPr>
              <w:t>$</w:t>
            </w:r>
          </w:p>
        </w:tc>
        <w:tc>
          <w:tcPr>
            <w:tcW w:w="1280" w:type="dxa"/>
            <w:vAlign w:val="bottom"/>
            <w:tcBorders>
              <w:bottom w:val="single" w:sz="8" w:color="auto"/>
            </w:tcBorders>
          </w:tcPr>
          <w:p>
            <w:pPr>
              <w:jc w:val="right"/>
              <w:ind w:right="10"/>
              <w:spacing w:after="0" w:line="190" w:lineRule="exact"/>
              <w:rPr>
                <w:sz w:val="20"/>
                <w:szCs w:val="20"/>
                <w:color w:val="auto"/>
              </w:rPr>
            </w:pPr>
            <w:r>
              <w:rPr>
                <w:rFonts w:ascii="Calibri" w:cs="Calibri" w:eastAsia="Calibri" w:hAnsi="Calibri"/>
                <w:sz w:val="18"/>
                <w:szCs w:val="18"/>
                <w:color w:val="auto"/>
              </w:rPr>
              <w:t>63,910</w:t>
            </w:r>
          </w:p>
        </w:tc>
        <w:tc>
          <w:tcPr>
            <w:tcW w:w="14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ind w:right="10"/>
              <w:spacing w:after="0" w:line="190" w:lineRule="exact"/>
              <w:rPr>
                <w:sz w:val="20"/>
                <w:szCs w:val="20"/>
                <w:color w:val="auto"/>
              </w:rPr>
            </w:pPr>
            <w:r>
              <w:rPr>
                <w:rFonts w:ascii="Calibri" w:cs="Calibri" w:eastAsia="Calibri" w:hAnsi="Calibri"/>
                <w:sz w:val="18"/>
                <w:szCs w:val="18"/>
                <w:color w:val="auto"/>
              </w:rPr>
              <w:t>82,085</w:t>
            </w:r>
          </w:p>
        </w:tc>
        <w:tc>
          <w:tcPr>
            <w:tcW w:w="0" w:type="dxa"/>
            <w:vAlign w:val="bottom"/>
          </w:tcPr>
          <w:p>
            <w:pPr>
              <w:spacing w:after="0"/>
              <w:rPr>
                <w:sz w:val="1"/>
                <w:szCs w:val="1"/>
                <w:color w:val="auto"/>
              </w:rPr>
            </w:pPr>
          </w:p>
        </w:tc>
      </w:tr>
      <w:tr>
        <w:trPr>
          <w:trHeight w:val="189"/>
        </w:trPr>
        <w:tc>
          <w:tcPr>
            <w:tcW w:w="6420" w:type="dxa"/>
            <w:vAlign w:val="bottom"/>
            <w:shd w:val="clear" w:color="auto" w:fill="E9E9E9"/>
          </w:tcPr>
          <w:p>
            <w:pPr>
              <w:spacing w:after="0" w:line="189" w:lineRule="exact"/>
              <w:rPr>
                <w:sz w:val="20"/>
                <w:szCs w:val="20"/>
                <w:color w:val="auto"/>
              </w:rPr>
            </w:pPr>
            <w:r>
              <w:rPr>
                <w:rFonts w:ascii="Calibri" w:cs="Calibri" w:eastAsia="Calibri" w:hAnsi="Calibri"/>
                <w:sz w:val="18"/>
                <w:szCs w:val="18"/>
                <w:b w:val="1"/>
                <w:bCs w:val="1"/>
                <w:color w:val="auto"/>
              </w:rPr>
              <w:t>Reconciliation of cash, cash equivalents and restricted cash to the Consolidated</w:t>
            </w:r>
          </w:p>
        </w:tc>
        <w:tc>
          <w:tcPr>
            <w:tcW w:w="2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1280" w:type="dxa"/>
            <w:vAlign w:val="bottom"/>
            <w:shd w:val="clear" w:color="auto" w:fill="E9E9E9"/>
          </w:tcPr>
          <w:p>
            <w:pPr>
              <w:spacing w:after="0"/>
              <w:rPr>
                <w:sz w:val="16"/>
                <w:szCs w:val="16"/>
                <w:color w:val="auto"/>
              </w:rPr>
            </w:pPr>
          </w:p>
        </w:tc>
        <w:tc>
          <w:tcPr>
            <w:tcW w:w="140" w:type="dxa"/>
            <w:vAlign w:val="bottom"/>
            <w:shd w:val="clear" w:color="auto" w:fill="E9E9E9"/>
          </w:tcPr>
          <w:p>
            <w:pPr>
              <w:spacing w:after="0"/>
              <w:rPr>
                <w:sz w:val="16"/>
                <w:szCs w:val="16"/>
                <w:color w:val="auto"/>
              </w:rPr>
            </w:pPr>
          </w:p>
        </w:tc>
        <w:tc>
          <w:tcPr>
            <w:tcW w:w="120" w:type="dxa"/>
            <w:vAlign w:val="bottom"/>
            <w:shd w:val="clear" w:color="auto" w:fill="E9E9E9"/>
          </w:tcPr>
          <w:p>
            <w:pPr>
              <w:spacing w:after="0"/>
              <w:rPr>
                <w:sz w:val="16"/>
                <w:szCs w:val="16"/>
                <w:color w:val="auto"/>
              </w:rPr>
            </w:pPr>
          </w:p>
        </w:tc>
        <w:tc>
          <w:tcPr>
            <w:tcW w:w="128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420" w:type="dxa"/>
            <w:vAlign w:val="bottom"/>
            <w:shd w:val="clear" w:color="auto" w:fill="E9E9E9"/>
          </w:tcPr>
          <w:p>
            <w:pPr>
              <w:spacing w:after="0"/>
              <w:rPr>
                <w:sz w:val="20"/>
                <w:szCs w:val="20"/>
                <w:color w:val="auto"/>
              </w:rPr>
            </w:pPr>
            <w:r>
              <w:rPr>
                <w:rFonts w:ascii="Calibri" w:cs="Calibri" w:eastAsia="Calibri" w:hAnsi="Calibri"/>
                <w:sz w:val="18"/>
                <w:szCs w:val="18"/>
                <w:b w:val="1"/>
                <w:bCs w:val="1"/>
                <w:color w:val="auto"/>
              </w:rPr>
              <w:t>Balance Sheets</w:t>
            </w:r>
          </w:p>
        </w:tc>
        <w:tc>
          <w:tcPr>
            <w:tcW w:w="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128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12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20" w:type="dxa"/>
            <w:vAlign w:val="bottom"/>
          </w:tcPr>
          <w:p>
            <w:pPr>
              <w:spacing w:after="0"/>
              <w:rPr>
                <w:sz w:val="20"/>
                <w:szCs w:val="20"/>
                <w:color w:val="auto"/>
              </w:rPr>
            </w:pPr>
            <w:r>
              <w:rPr>
                <w:rFonts w:ascii="Calibri" w:cs="Calibri" w:eastAsia="Calibri" w:hAnsi="Calibri"/>
                <w:sz w:val="18"/>
                <w:szCs w:val="18"/>
                <w:color w:val="auto"/>
              </w:rPr>
              <w:t>Cash and cash equivalents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62,939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Calibri" w:cs="Calibri" w:eastAsia="Calibri" w:hAnsi="Calibri"/>
                <w:sz w:val="18"/>
                <w:szCs w:val="18"/>
                <w:color w:val="auto"/>
              </w:rPr>
              <w:t>77,762</w:t>
            </w:r>
          </w:p>
        </w:tc>
        <w:tc>
          <w:tcPr>
            <w:tcW w:w="0" w:type="dxa"/>
            <w:vAlign w:val="bottom"/>
          </w:tcPr>
          <w:p>
            <w:pPr>
              <w:spacing w:after="0"/>
              <w:rPr>
                <w:sz w:val="1"/>
                <w:szCs w:val="1"/>
                <w:color w:val="auto"/>
              </w:rPr>
            </w:pPr>
          </w:p>
        </w:tc>
      </w:tr>
      <w:tr>
        <w:trPr>
          <w:trHeight w:val="220"/>
        </w:trPr>
        <w:tc>
          <w:tcPr>
            <w:tcW w:w="6420" w:type="dxa"/>
            <w:vAlign w:val="bottom"/>
            <w:shd w:val="clear" w:color="auto" w:fill="E9E9E9"/>
          </w:tcPr>
          <w:p>
            <w:pPr>
              <w:spacing w:after="0"/>
              <w:rPr>
                <w:sz w:val="20"/>
                <w:szCs w:val="20"/>
                <w:color w:val="auto"/>
              </w:rPr>
            </w:pPr>
            <w:r>
              <w:rPr>
                <w:rFonts w:ascii="Calibri" w:cs="Calibri" w:eastAsia="Calibri" w:hAnsi="Calibri"/>
                <w:sz w:val="18"/>
                <w:szCs w:val="18"/>
                <w:color w:val="auto"/>
              </w:rPr>
              <w:t>Restricted cash</w:t>
            </w: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80" w:type="dxa"/>
            <w:vAlign w:val="bottom"/>
            <w:tcBorders>
              <w:bottom w:val="single" w:sz="8" w:color="auto"/>
            </w:tcBorders>
            <w:shd w:val="clear" w:color="auto" w:fill="E9E9E9"/>
          </w:tcPr>
          <w:p>
            <w:pPr>
              <w:jc w:val="right"/>
              <w:ind w:right="10"/>
              <w:spacing w:after="0"/>
              <w:rPr>
                <w:sz w:val="20"/>
                <w:szCs w:val="20"/>
                <w:color w:val="auto"/>
              </w:rPr>
            </w:pPr>
            <w:r>
              <w:rPr>
                <w:rFonts w:ascii="Calibri" w:cs="Calibri" w:eastAsia="Calibri" w:hAnsi="Calibri"/>
                <w:sz w:val="18"/>
                <w:szCs w:val="18"/>
                <w:color w:val="auto"/>
              </w:rPr>
              <w:t>971</w:t>
            </w:r>
          </w:p>
        </w:tc>
        <w:tc>
          <w:tcPr>
            <w:tcW w:w="14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280" w:type="dxa"/>
            <w:vAlign w:val="bottom"/>
            <w:tcBorders>
              <w:bottom w:val="single" w:sz="8" w:color="auto"/>
            </w:tcBorders>
            <w:shd w:val="clear" w:color="auto" w:fill="E9E9E9"/>
          </w:tcPr>
          <w:p>
            <w:pPr>
              <w:jc w:val="right"/>
              <w:ind w:right="10"/>
              <w:spacing w:after="0"/>
              <w:rPr>
                <w:sz w:val="20"/>
                <w:szCs w:val="20"/>
                <w:color w:val="auto"/>
              </w:rPr>
            </w:pPr>
            <w:r>
              <w:rPr>
                <w:rFonts w:ascii="Calibri" w:cs="Calibri" w:eastAsia="Calibri" w:hAnsi="Calibri"/>
                <w:sz w:val="18"/>
                <w:szCs w:val="18"/>
                <w:color w:val="auto"/>
              </w:rPr>
              <w:t>4,323</w:t>
            </w:r>
          </w:p>
        </w:tc>
        <w:tc>
          <w:tcPr>
            <w:tcW w:w="0" w:type="dxa"/>
            <w:vAlign w:val="bottom"/>
          </w:tcPr>
          <w:p>
            <w:pPr>
              <w:spacing w:after="0"/>
              <w:rPr>
                <w:sz w:val="1"/>
                <w:szCs w:val="1"/>
                <w:color w:val="auto"/>
              </w:rPr>
            </w:pPr>
          </w:p>
        </w:tc>
      </w:tr>
      <w:tr>
        <w:trPr>
          <w:trHeight w:val="210"/>
        </w:trPr>
        <w:tc>
          <w:tcPr>
            <w:tcW w:w="6420" w:type="dxa"/>
            <w:vAlign w:val="bottom"/>
          </w:tcPr>
          <w:p>
            <w:pPr>
              <w:spacing w:after="0" w:line="210" w:lineRule="exact"/>
              <w:rPr>
                <w:sz w:val="20"/>
                <w:szCs w:val="20"/>
                <w:color w:val="auto"/>
              </w:rPr>
            </w:pPr>
            <w:r>
              <w:rPr>
                <w:rFonts w:ascii="Calibri" w:cs="Calibri" w:eastAsia="Calibri" w:hAnsi="Calibri"/>
                <w:sz w:val="18"/>
                <w:szCs w:val="18"/>
                <w:color w:val="auto"/>
              </w:rPr>
              <w:t>Total cash, cash equivalents and restricted cash</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280" w:type="dxa"/>
            <w:vAlign w:val="bottom"/>
            <w:tcBorders>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color w:val="auto"/>
              </w:rPr>
              <w:t>63,910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color w:val="auto"/>
              </w:rPr>
              <w:t>82,085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16" w:right="1440" w:bottom="175"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Shimmick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Business and Organization</w:t>
      </w:r>
    </w:p>
    <w:p>
      <w:pPr>
        <w:spacing w:after="0" w:line="20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Shimmick Corporation (“Shimmick”, “we”, “our”, “us”, “its” or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Transactions and began operating as an independent company under new private ownership (the "AECOM Sale Transactions").</w:t>
      </w:r>
    </w:p>
    <w:p>
      <w:pPr>
        <w:spacing w:after="0" w:line="160" w:lineRule="exact"/>
        <w:rPr>
          <w:sz w:val="20"/>
          <w:szCs w:val="20"/>
          <w:color w:val="auto"/>
        </w:rPr>
      </w:pPr>
    </w:p>
    <w:p>
      <w:pPr>
        <w:jc w:val="both"/>
        <w:ind w:right="66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Shimmick Corporation and its subsidiaries, unless otherwise indicated. On September 12, 2023, the Company changed its name from SCCI National Holdings, Inc. to Shimmick Corporation.</w:t>
      </w:r>
    </w:p>
    <w:p>
      <w:pPr>
        <w:spacing w:after="0" w:line="14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On November 16, 2023, Shimmick completed its initial public offering of 3,575,000 shares of common stock at a price to the public of $7.00 per share (the "IPO"). The net proceeds to Shimmick from the IPO were approximately $19 million after deducting underwriting discounts and commissions and other offering expenses of $6 million. Shimmick’s common stock began trading on the NASDAQ Global Market on November 14, 2023.</w:t>
      </w:r>
    </w:p>
    <w:p>
      <w:pPr>
        <w:spacing w:after="0" w:line="150" w:lineRule="exact"/>
        <w:rPr>
          <w:sz w:val="20"/>
          <w:szCs w:val="20"/>
          <w:color w:val="auto"/>
        </w:rPr>
      </w:pPr>
    </w:p>
    <w:p>
      <w:pPr>
        <w:ind w:right="2740"/>
        <w:spacing w:after="0" w:line="450" w:lineRule="auto"/>
        <w:rPr>
          <w:sz w:val="20"/>
          <w:szCs w:val="20"/>
          <w:color w:val="auto"/>
        </w:rPr>
      </w:pPr>
      <w:r>
        <w:rPr>
          <w:rFonts w:ascii="Times New Roman" w:cs="Times New Roman" w:eastAsia="Times New Roman" w:hAnsi="Times New Roman"/>
          <w:sz w:val="20"/>
          <w:szCs w:val="20"/>
          <w:b w:val="1"/>
          <w:bCs w:val="1"/>
          <w:color w:val="auto"/>
        </w:rPr>
        <w:t>Note 2. Basis of Presentation and Summary of Significant Accounting Policies Basis of Presentation</w:t>
      </w:r>
    </w:p>
    <w:p>
      <w:pPr>
        <w:spacing w:after="0" w:line="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(“GAAP”), and in conformity with the rules and regulations of the Securities and Exchange Commission. A statement of comprehensive income is not presented as the Company’s results of operations do not contain any items classified as comprehensive income. All intercompany accounts and transactions have been eliminated.</w:t>
      </w:r>
    </w:p>
    <w:p>
      <w:pPr>
        <w:spacing w:after="0" w:line="1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In preparing these consolidated financial statements, subsequent events were evaluated through the time the financial statements were issued. Financial statements are considered issued when they are widely distributed to all stockholders and other financial statement users, or filed with the SEC.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Presentation</w:t>
      </w:r>
    </w:p>
    <w:p>
      <w:pPr>
        <w:spacing w:after="0" w:line="204"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color w:val="auto"/>
        </w:rPr>
        <w:t>Certain prior period balances in the consolidated balance sheets and statements of cash flows and accompanying notes have been combined or rounded to conform to current period presentation. These changes had no impact on net (loss) income, cash flows, assets and liabilities, or equity previously reported.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Split</w:t>
      </w:r>
    </w:p>
    <w:p>
      <w:pPr>
        <w:spacing w:after="0" w:line="20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On October 23, 2023, the Board of Directors (the "Board") approved an amendment to the Company’s Certificate of Incorporation in order to effect a stock split of the Company’s Common Stock. Further, the Board authorized 100,000,000 shares of Common Stock, with a par value of $0.01 par value per share and 25,000,000 shares of Preferred Stock, with a par value of $0.01 per share. Upon the effectiveness of the filing of the amendment, each share of common stock, par value $0.01 per share (the “Old Common Stock”), issued and outstanding automatically, without further action on the part of the Company or any holder of such Old Common Stock, was reclassified as and became 2.7386 validly issued, fully paid and non-assessable shares of Common Stock. There were no fractional shares issued with respect to the reclassification of shares of Old Common Stock. In lieu of fractional shares, the Company rounded up to the nearest whole number of shares of Common Stock. The Company has retro-actively applied the stock split made effective on October 23, 2023, to share and per share amounts in the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16" w:right="1440" w:bottom="175"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Fiscal Year</w:t>
      </w:r>
    </w:p>
    <w:p>
      <w:pPr>
        <w:spacing w:after="0" w:line="20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auto"/>
        </w:rPr>
        <w:t>The Company’s fiscal years consist of 52 or 53 weeks, ending on the Friday closest to December 31. Fiscal year 2023 commenced on December 31, 2022 and ended on December 29, 2023. Fiscal year 2022 commenced on January 1, 2022 and ended on December 30,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0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estimates and significant estimates affecting amounts reported in the consolidated financial statements are:</w:t>
      </w:r>
    </w:p>
    <w:p>
      <w:pPr>
        <w:spacing w:after="0" w:line="91" w:lineRule="exact"/>
        <w:rPr>
          <w:sz w:val="20"/>
          <w:szCs w:val="20"/>
          <w:color w:val="auto"/>
        </w:rPr>
      </w:pPr>
    </w:p>
    <w:p>
      <w:pPr>
        <w:ind w:left="980" w:right="140" w:hanging="491"/>
        <w:spacing w:after="0" w:line="276"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project revenues, costs and profits at completion of the Company’s contracts with customers, including recognition of estimated losses on uncompleted contracts;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claims against customers and recoveries of costs from subcontractors, vendors and others;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for income taxes and related valuation allowances and tax uncertainties;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recoverability of equity method investments;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accruals for estimated liabilities, including litigation accruals;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fair value of assets and liabilities acquired under the Purchase Agreement;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amounts owed to AECOM for contingent consideration.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0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Company derives revenue predominantly by providing construction and operations and management services to government and commercial clients throughout the United States. The Company’s construction, operations and management services are usually provided in association with capital projects, which are predominantly fixed-price contracts that are billed based on project milestones. Contracts with clients may contain advance billing terms, milestone billings based on the completion of certain phases of work or services provided to date, and contract retentions. For further discussion regarding the Company’s revenue from contracts with clients by type of contract, see Note 3 - Revenue, Receivables and Contract Assets and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Step 1: Contract Identification</w:t>
      </w:r>
    </w:p>
    <w:p>
      <w:pPr>
        <w:spacing w:after="0" w:line="19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auto"/>
        </w:rPr>
        <w:t>The Company does not recognize revenue unless an identified contract with a customer is established. A contract with a customer exists when it has approval and commitment from both parties, the rights and obligations of the parties are identified, payment terms are identified, the contract has commercial substance, and collectability is probable. The Company also evaluates whether a contract should be combined with other contracts and accounted for as a single contract. This evaluation requires judgment and could change the timing of the amount of revenue and profit recorded for a given period.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416" w:right="1440" w:bottom="175"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i w:val="1"/>
          <w:iCs w:val="1"/>
          <w:color w:val="auto"/>
        </w:rPr>
        <w:t>Step 2: Identify Performance Obligations</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Next, each performance obligation in the contract is identified. A performance obligation is a promise to provide a distinct good or service or a series of distinct goods or services to the customer. Revenue is recognized separately for each performance obligation in the contract. Many of the Company’s contracts have one clearly identifiable performance obligation. However, many contracts provide the customer an integrated service that includes two or more of services associated with construction, operations and management. For these contracts, the Company does not consider the integrated services to be distinct within the context of the contract when the separate scopes of work combine into a single commercial objective or capability for the customer. Accordingly, the Company generally identifies one performance obligation in each contract. The determination of the number of performance obligations in a contract requires significant judgment and could change the timing of the amount of revenue recorded for a given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Step 3: Determine Contract Price</w:t>
      </w:r>
    </w:p>
    <w:p>
      <w:pPr>
        <w:spacing w:after="0" w:line="19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After determining the performance obligations in the contract, the Company determines the contract price. The contract price is the amount of consideration expected to be received from the customer for completing the performance obligation(s). In a fixed-price contract, the contract price is a single lump-sum amount. In reimbursable and time and materials-based contracts, the contract price is determined by the agreed upon rates or reimbursements for time and materials expended in completing the performance obligation(s) in the contract. In the course of providing its services, the Company routinely subcontracts and collaborates with partners providing services and incurs other direct costs. The Company controls the services provided by subcontractors and accounts for such cost at the gross amount as the company is considered the principal.</w:t>
      </w:r>
    </w:p>
    <w:p>
      <w:pPr>
        <w:spacing w:after="0" w:line="16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bonuses, awards, incentive fees, claims, unapproved change orders, unpriced change orders, penalties, and liquidated damages. Variable consideration is included in the estimate of the transaction price only to the extent that it is probable that a significant reversal of revenue would not occur when the contingency is resolved. The Company estimates the amount of revenue to be recognized on variable consideration through predominantly applying the most likely amount method.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material changes in estimates are disclosed accordingly.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Step 4: Assign Contract Price to Performance Obligations</w:t>
      </w:r>
    </w:p>
    <w:p>
      <w:pPr>
        <w:spacing w:after="0" w:line="198" w:lineRule="exact"/>
        <w:rPr>
          <w:sz w:val="20"/>
          <w:szCs w:val="20"/>
          <w:color w:val="auto"/>
        </w:rPr>
      </w:pPr>
    </w:p>
    <w:p>
      <w:pPr>
        <w:ind w:right="680"/>
        <w:spacing w:after="0" w:line="252" w:lineRule="auto"/>
        <w:rPr>
          <w:sz w:val="20"/>
          <w:szCs w:val="20"/>
          <w:color w:val="auto"/>
        </w:rPr>
      </w:pPr>
      <w:r>
        <w:rPr>
          <w:rFonts w:ascii="Times New Roman" w:cs="Times New Roman" w:eastAsia="Times New Roman" w:hAnsi="Times New Roman"/>
          <w:sz w:val="20"/>
          <w:szCs w:val="20"/>
          <w:color w:val="auto"/>
        </w:rPr>
        <w:t>After determining the contract price, the Company assigns such price to the performance obligation(s) in the contract. If a contract has multiple performance obligations, the Company assigns the contract price to each performance obligation based on the stand-alone selling prices of the distinct services that comprise each performance obligation.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Step 5: Recognize Revenue as Performance Obligations are Satisfied</w:t>
      </w:r>
    </w:p>
    <w:p>
      <w:pPr>
        <w:spacing w:after="0" w:line="19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Company records revenue for contracts with customers as the contracts’ performance obligations are satisfied. Under fixed-unit price contracts, the Company performs a number of units of work at an agreed price per unit with the total payment under the contract determined by the actual number of units delivered. Revenue is recognized for fixed-price contracts using the input method measured on a cost-to-cost basis. This method is reasonable in measuring performance towards completion because it measures the value of all goods and services transferred to the customer.</w:t>
      </w:r>
    </w:p>
    <w:p>
      <w:pPr>
        <w:spacing w:after="0" w:line="16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 Company recognizes revenue on performance obligations associated with cost reimbursable contracts based on actual direct costs incurred and the applicable fixed rate or portion of the fixed fee earned as of the consolidated balance sheet date. Under time-and-materials price contracts, the Company negotiates hourly billing rates and charges its customers based on the actual time that it expends on a project. In addition, customers reimburse the</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22" w:right="1440" w:bottom="175" w:gutter="0" w:footer="0" w:header="0"/>
          <w:type w:val="continuous"/>
        </w:sectPr>
      </w:pPr>
    </w:p>
    <w:bookmarkStart w:id="74" w:name="page75"/>
    <w:bookmarkEnd w:id="74"/>
    <w:p>
      <w:pPr>
        <w:ind w:right="40"/>
        <w:spacing w:after="0" w:line="258" w:lineRule="auto"/>
        <w:rPr>
          <w:sz w:val="20"/>
          <w:szCs w:val="20"/>
          <w:color w:val="auto"/>
        </w:rPr>
      </w:pPr>
      <w:r>
        <w:rPr>
          <w:rFonts w:ascii="Times New Roman" w:cs="Times New Roman" w:eastAsia="Times New Roman" w:hAnsi="Times New Roman"/>
          <w:sz w:val="20"/>
          <w:szCs w:val="20"/>
          <w:color w:val="auto"/>
        </w:rPr>
        <w:t>Company for materials and other direct incidental expenditures incurred in connection with its performance under the contract. The Company applies a practical expedient to recognize revenue in the amount in which it has the right to invoice if its right to consideration is equal to the value of performance completed to date.</w:t>
      </w:r>
    </w:p>
    <w:p>
      <w:pPr>
        <w:spacing w:after="0" w:line="14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w:t>
      </w:r>
    </w:p>
    <w:p>
      <w:pPr>
        <w:spacing w:after="0" w:line="14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Company has numerous contracts that are in various stages of completion which require estimates to determine the forecasted costs at completion. Due to the nature of the work left to be performed on many of the Company’s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Orders</w:t>
      </w:r>
    </w:p>
    <w:p>
      <w:pPr>
        <w:spacing w:after="0" w:line="19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Claims</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Contracts</w:t>
      </w:r>
    </w:p>
    <w:p>
      <w:pPr>
        <w:spacing w:after="0" w:line="20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Company’s federal government and certain state and local agency contracts are subject to, among other regulations, regulations issued under the Federal Acquisition Regulations (“FAR”). These regulations can limit the recovery of certain specified indirect costs on contracts and subjects the Company to ongoing multiple audits by government agencies such as the Defense Contract Audit Agency (“DCAA”). In addition, most of the Company’s federal and state and local contracts are subject to termination at the discretion of the client.</w:t>
      </w:r>
    </w:p>
    <w:p>
      <w:pPr>
        <w:spacing w:after="0" w:line="15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Audits by the DCAA and other agencies consist of reviews of the Company’s overhead rates, operating systems and cost proposals to ensure that the Company accounted for such costs in accordance with the Cost Accounting Standards of the FAR (“CAS”). If the DCAA determines the Company has not accounted for such costs consistent with CAS, the DCAA may disallow these costs. There can be no assurance that audits by the DCAA or other governmental agencies will not result in material cost disallowances in the future.</w:t>
      </w:r>
    </w:p>
    <w:p>
      <w:pPr>
        <w:spacing w:after="0" w:line="15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There are no ongoing audits and or material adjustments related to noncompliance are required. The Company is in compliance with all federal and state regulations and is not aware of any material adjustments as of the consolidated balance sheet 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w:t>
      </w:r>
    </w:p>
    <w:p>
      <w:pPr>
        <w:spacing w:after="0" w:line="20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For asserted claims and assessments, liabilities are recorded when an unfavorable outcome of a matter is concluded to be probable and the loss is reasonably estimable. With respect to unasserted claims or assessments, management must first determine that the probability that an assertion will be made is likely. Then, a determination as to the likelihood of an unfavorable outcome and the ability to reasonably estimate the potential loss is made. Legal matters are reviewed on a continuous basis to determine if there has been a change in management’s judgment regarding the likelihood of an unfavorable outcome or the estimate of a potential loss. Legal costs are expensed as incurred.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20" w:right="1440" w:bottom="175"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Joint Ventures and Variable Interest Entities</w:t>
      </w:r>
    </w:p>
    <w:p>
      <w:pPr>
        <w:spacing w:after="0" w:line="20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The Company’s joint ventures, the combination of two or more partners, are generally formed for the execution of a specific contract. Management of the joint venture is typically controlled by a joint venture management committee, comprised of representatives from the joint venture partners. The joint venture management committee normally provides management oversight and controls decisions which could have a significant impact on the joint venture.</w:t>
      </w:r>
    </w:p>
    <w:p>
      <w:pPr>
        <w:spacing w:after="0" w:line="13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Some of the Company’s joint ventures have no employees and minimal operating expenses. For these joint ventures, the Company’s employees perform work for the joint venture, which is then billed to a third-party</w:t>
      </w:r>
    </w:p>
    <w:p>
      <w:pPr>
        <w:spacing w:after="0" w:line="1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client by the joint venture. For consolidated joint ventures of this type, the Company records the entire amount of the services performed and the costs associated with these services, including the services provided by the other joint venture partners, in the Company’s results of operations. For certain of these joint ventures where a fee is added by an unconsolidated joint venture to client billings, these fees are eliminated to the extent the fee represents billings from the Company to the joint venture.</w:t>
      </w:r>
    </w:p>
    <w:p>
      <w:pPr>
        <w:spacing w:after="0" w:line="15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The Company assesses its joint ventures at inception to determine if they meet the qualifications of a variable interest entity ("VIE"). The Company considers a partnership or joint venture a VIE if it has any of the following characteristics:</w:t>
      </w:r>
    </w:p>
    <w:p>
      <w:pPr>
        <w:spacing w:after="0" w:line="83" w:lineRule="exact"/>
        <w:rPr>
          <w:sz w:val="20"/>
          <w:szCs w:val="20"/>
          <w:color w:val="auto"/>
        </w:rPr>
      </w:pPr>
    </w:p>
    <w:p>
      <w:pPr>
        <w:ind w:left="980" w:right="20" w:hanging="491"/>
        <w:spacing w:after="0" w:line="276"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total equity investment is not sufficient to permit the entity to finance its activities without additional subordinated financial support;</w:t>
      </w:r>
    </w:p>
    <w:p>
      <w:pPr>
        <w:spacing w:after="0" w:line="64" w:lineRule="exact"/>
        <w:rPr>
          <w:rFonts w:ascii="Arial" w:cs="Arial" w:eastAsia="Arial" w:hAnsi="Arial"/>
          <w:sz w:val="20"/>
          <w:szCs w:val="20"/>
          <w:color w:val="auto"/>
        </w:rPr>
      </w:pPr>
    </w:p>
    <w:p>
      <w:pPr>
        <w:jc w:val="both"/>
        <w:ind w:left="980" w:right="20" w:hanging="491"/>
        <w:spacing w:after="0" w:line="258"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characteristics of a controlling financial interest are missing (either the ability to make decisions through voting or other rights, the obligation to absorb the expected losses of the entity or the right to receive the expected residual returns of the entity); or</w:t>
      </w:r>
    </w:p>
    <w:p>
      <w:pPr>
        <w:spacing w:after="0" w:line="81" w:lineRule="exact"/>
        <w:rPr>
          <w:rFonts w:ascii="Arial" w:cs="Arial" w:eastAsia="Arial" w:hAnsi="Arial"/>
          <w:sz w:val="20"/>
          <w:szCs w:val="20"/>
          <w:color w:val="auto"/>
        </w:rPr>
      </w:pPr>
    </w:p>
    <w:p>
      <w:pPr>
        <w:ind w:left="980" w:right="40" w:hanging="491"/>
        <w:spacing w:after="0" w:line="252"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voting rights of the equity holders are not proportional to their obligations to absorb the expected losses of the entity and/or their rights to receive the expected residual returns of the entity, and substantially all of the entity’s activities either involve or are conducted on behalf of an investor that has disproportionately few voting rights.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analyzes its joint ventures and classifies them as either:</w:t>
      </w:r>
    </w:p>
    <w:p>
      <w:pPr>
        <w:spacing w:after="0" w:line="134" w:lineRule="exact"/>
        <w:rPr>
          <w:sz w:val="20"/>
          <w:szCs w:val="20"/>
          <w:color w:val="auto"/>
        </w:rPr>
      </w:pPr>
    </w:p>
    <w:p>
      <w:pPr>
        <w:ind w:left="980" w:right="140" w:hanging="491"/>
        <w:spacing w:after="0" w:line="25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81" w:lineRule="exact"/>
        <w:rPr>
          <w:rFonts w:ascii="Arial" w:cs="Arial" w:eastAsia="Arial" w:hAnsi="Arial"/>
          <w:sz w:val="20"/>
          <w:szCs w:val="20"/>
          <w:color w:val="auto"/>
        </w:rPr>
      </w:pPr>
    </w:p>
    <w:p>
      <w:pPr>
        <w:ind w:left="980" w:hanging="491"/>
        <w:spacing w:after="0" w:line="25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0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The Company from time to time may have bank deposits in excess of insurance limits of the Federal Deposit Insurance Corporation. The Company has not experienced any credit losses in such accounts and believes it is not exposed to any significant credit risk related to its cash and cash equivalents.</w:t>
      </w:r>
    </w:p>
    <w:p>
      <w:pPr>
        <w:spacing w:after="0" w:line="14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The Company’s cash equivalents include highly liquid investments which have an initial maturity of three months or less.</w:t>
      </w:r>
    </w:p>
    <w:p>
      <w:pPr>
        <w:spacing w:after="0" w:line="1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Cash and cash equivalents as of December 29, 2023 and December 30, 2022, include $1 million and $4 million, respectively, held by consolidated joint ventures that may not be distributed or used for certain other payments prescribed in the joint venture agreement without consent of the joint venture partners. These balances are presented as restricted cash within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Allowance for Doubtful Accounts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16" w:right="1440" w:bottom="175" w:gutter="0" w:footer="0" w:header="0"/>
          <w:type w:val="continuous"/>
        </w:sectPr>
      </w:pPr>
    </w:p>
    <w:bookmarkStart w:id="76" w:name="page77"/>
    <w:bookmarkEnd w:id="76"/>
    <w:p>
      <w:pPr>
        <w:ind w:right="20"/>
        <w:spacing w:after="0" w:line="247" w:lineRule="auto"/>
        <w:rPr>
          <w:sz w:val="20"/>
          <w:szCs w:val="20"/>
          <w:color w:val="auto"/>
        </w:rPr>
      </w:pPr>
      <w:r>
        <w:rPr>
          <w:rFonts w:ascii="Times New Roman" w:cs="Times New Roman" w:eastAsia="Times New Roman" w:hAnsi="Times New Roman"/>
          <w:sz w:val="20"/>
          <w:szCs w:val="20"/>
          <w:color w:val="auto"/>
        </w:rPr>
        <w:t>The Company records its accounts receivable net of an allowance for doubtful accounts. This allowance for doubtful accounts is estimated based on management’s evaluation of the contracts involved and the client’s ability and willingness to pay. Allowances for doubtful accounts have been determined through specific identification of amounts considered to be uncollectible and potential write-offs, plus a non-specific allowance for other amounts for which some potential loss has been determined to be probable as of the consolidated balance sheet date based on current and past experience.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204"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color w:val="auto"/>
        </w:rPr>
        <w:t>Property, plant and equipment are recorded at cost and are depreciated over their estimated useful lives using the straight-line method. Expenditures for maintenance and repairs are expensed as incurred. Estimated useful lives range as follows:</w:t>
      </w:r>
    </w:p>
    <w:p>
      <w:pPr>
        <w:spacing w:after="0" w:line="83" w:lineRule="exact"/>
        <w:rPr>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Buildings — 10 to 45 years;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Machinery, equipment, and vehicles — 3 to 12 years;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Office furniture and equipment — 3 to 10 years;</w:t>
      </w:r>
    </w:p>
    <w:p>
      <w:pPr>
        <w:spacing w:after="0" w:line="133"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Leasehold improvements — the shorter of their estimated useful lives or the remaining terms of the underlying lease agreement.</w:t>
      </w:r>
    </w:p>
    <w:p>
      <w:pPr>
        <w:spacing w:after="0" w:line="1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Property, plant and equipment to be held and used are reviewed for impairment whenever events or circumstances indicate that the carrying amount of assets may not be recoverable. The carrying amount of an asset to be held and used is not recoverable if it exceeds the sum of the undiscounted cash flows expected from the use and eventual disposition of the asset. For assets to be held and used, impairment losses are recognized based upon the excess of the asset’s carrying amount over the fair value of the asset. For property, plant and equipment assets to be disposed, impairment losses are recognized at the lower of the carrying amount or fair value less cost to sell. There was no impairment to property, plant and equipment for the fiscal years ended December 29, 2023 and December 30,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2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 estimated useful lives for intangible assets were determined based upon the remaining useful economic lives of the intangible assets that are expected to contribute directly or indirectly to future cash flows. The estimated useful lives for trademarks and customer contracts are seven years and six years, respectively. Intangible assets are amortized over the shorter of their contractual term or estimated useful life.</w:t>
      </w:r>
    </w:p>
    <w:p>
      <w:pPr>
        <w:spacing w:after="0" w:line="1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Company considers events or circumstances that may warrant revised estimates of useful lives or that may indicate impairment. There was no impairment to intangible assets for the fiscal years ended December 29, 2023 or December 30,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Insurance Reserves</w:t>
      </w:r>
    </w:p>
    <w:p>
      <w:pPr>
        <w:spacing w:after="0" w:line="20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The Company maintains insurance for certain insurable business risks. Insurance coverage contains various retention and deductible amounts for which the Company accrues a liability based upon reported claims and an actuarially determined estimated liability for certain claims incurred but not reported. It is generally the Company’s policy not to accrue for any potential legal expense to be incurred in defending the Company’s 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0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20" w:right="1440" w:bottom="175" w:gutter="0" w:footer="0" w:header="0"/>
          <w:type w:val="continuous"/>
        </w:sectPr>
      </w:pPr>
    </w:p>
    <w:bookmarkStart w:id="77" w:name="page78"/>
    <w:bookmarkEnd w:id="77"/>
    <w:p>
      <w:pPr>
        <w:ind w:right="560"/>
        <w:spacing w:after="0" w:line="277" w:lineRule="auto"/>
        <w:rPr>
          <w:sz w:val="20"/>
          <w:szCs w:val="20"/>
          <w:color w:val="auto"/>
        </w:rPr>
      </w:pPr>
      <w:r>
        <w:rPr>
          <w:rFonts w:ascii="Times New Roman" w:cs="Times New Roman" w:eastAsia="Times New Roman" w:hAnsi="Times New Roman"/>
          <w:sz w:val="20"/>
          <w:szCs w:val="20"/>
          <w:color w:val="auto"/>
        </w:rPr>
        <w:t>the remaining lease term on a straight-line basis. Lease expense related to short-term leases is recognized on a straight-line basis over the lease term.</w:t>
      </w:r>
    </w:p>
    <w:p>
      <w:pPr>
        <w:spacing w:after="0" w:line="12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 Right-of-use assets are evaluated for impairment in accordance with the Company’s policy for impairment of long-lived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0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Non-controlling interests represent the equity investments of the minority owners in the Company’s joint ventures and other subsidiary entities that are consolidated in its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Accounting</w:t>
      </w:r>
    </w:p>
    <w:p>
      <w:pPr>
        <w:spacing w:after="0" w:line="20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 categorizes its financial instruments using a valuation hierarchy for disclosure of the inputs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The classification of a financial asset or liability within the hierarchy is determined based on the lowest level (least observable) input that is significant to the fair value measurement.</w:t>
      </w:r>
    </w:p>
    <w:p>
      <w:pPr>
        <w:spacing w:after="0" w:line="16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Other than the contingent consideration, there were no assets and liabilities measured at fair value on a recurring basis as of December 29, 2023 or December 30,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This method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6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spacing w:after="0" w:line="1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Management assesses the available positive and negative evidence to estimate whether sufficient future taxable income will be generated to permit use of the existing deferred tax assets. Such objective evidence limits the ability to consider other subjective evidence, such as our projections for future growth.</w:t>
      </w:r>
    </w:p>
    <w:p>
      <w:pPr>
        <w:spacing w:after="0" w:line="14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Company records uncertain tax positions using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20" w:right="1440" w:bottom="175" w:gutter="0" w:footer="0" w:header="0"/>
          <w:type w:val="continuous"/>
        </w:sectPr>
      </w:pPr>
    </w:p>
    <w:bookmarkStart w:id="78" w:name="page79"/>
    <w:bookmarkEnd w:id="78"/>
    <w:p>
      <w:pPr>
        <w:ind w:right="100"/>
        <w:spacing w:after="0" w:line="246" w:lineRule="auto"/>
        <w:rPr>
          <w:sz w:val="20"/>
          <w:szCs w:val="20"/>
          <w:color w:val="auto"/>
        </w:rPr>
      </w:pPr>
      <w:r>
        <w:rPr>
          <w:rFonts w:ascii="Times New Roman" w:cs="Times New Roman" w:eastAsia="Times New Roman" w:hAnsi="Times New Roman"/>
          <w:sz w:val="20"/>
          <w:szCs w:val="20"/>
          <w:color w:val="auto"/>
        </w:rPr>
        <w:t>The accounting guidance on Segment Reporting establishes standards for reporting information regarding operating segments in annual financial statements and requires selected information of those segments to be presented in financial statements. Operating segments are identified as components of an enterprise for which separate discrete financial information is available for evaluation by the chief operating decision maker (“CODM”) in making decisions on how to allocate resources and assess performance. Based on how the Company’s Chief Executive Officer as the CODM reviews financial performance and allocates resources on a recurring basis, the Company has one operating segment and one reportable segment.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0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All stock-based payments (to the extent that they are compensatory) are recognized as an expense in the Company’s consolidated statements of operations based on their fair values on the grant date. The Company accounts for forfeitures when they occur. The Company recognizes stock-based compensation expense on a straight-line basis over the service period of the award, which is no greater than four years. See Note 8 - Stock Compensation, for discussion of stock-based compensation and incentive plans.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Standards Not Yet Adopted</w:t>
      </w:r>
    </w:p>
    <w:p>
      <w:pPr>
        <w:spacing w:after="0" w:line="20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Accounting pronouncements not listed below were assessed and determined to be not applicable or are expected to have minimal impact on the consolidated financial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November 2023, the FASB issued ASU 2023-07 to enhance disclosures of significant expense and segment profitability categories and amounts for reportable business segments. The amendment is effective in annual periods beginning after December 15, 2023 and subsequent interim periods, with early adoption permitted. The Company is currently evaluating the provisions of the amendments and the impact on its future consolidated financial statements.</w:t>
      </w:r>
    </w:p>
    <w:p>
      <w:pPr>
        <w:spacing w:after="0" w:line="15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ASU 2023-09 to improve disclosures and presentation requirements to the transparency of the income tax disclosures by requiring consistent categories and greater disaggregation of information in the rate reconciliation and income taxes paid disaggregated by jurisdiction. The amendment is effective in annual periods beginning after December 15, 2024, with early adoption permitted. The Company is currently evaluating the provisions of the amendments and the impact on it future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Revenue, Receivables and Contract Assets and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revenue disaggregated by contract types:</w:t>
      </w: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4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Pr>
          <w:p>
            <w:pPr>
              <w:spacing w:after="0"/>
              <w:rPr>
                <w:sz w:val="22"/>
                <w:szCs w:val="22"/>
                <w:color w:val="auto"/>
              </w:rPr>
            </w:pPr>
          </w:p>
        </w:tc>
      </w:tr>
      <w:tr>
        <w:trPr>
          <w:trHeight w:val="197"/>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29,</w:t>
            </w:r>
          </w:p>
        </w:tc>
        <w:tc>
          <w:tcPr>
            <w:tcW w:w="200" w:type="dxa"/>
            <w:vAlign w:val="bottom"/>
          </w:tcPr>
          <w:p>
            <w:pPr>
              <w:spacing w:after="0"/>
              <w:rPr>
                <w:sz w:val="17"/>
                <w:szCs w:val="17"/>
                <w:color w:val="auto"/>
              </w:rPr>
            </w:pPr>
          </w:p>
        </w:tc>
        <w:tc>
          <w:tcPr>
            <w:tcW w:w="1180" w:type="dxa"/>
            <w:vAlign w:val="bottom"/>
            <w:gridSpan w:val="2"/>
          </w:tcPr>
          <w:p>
            <w:pPr>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30,</w:t>
            </w:r>
          </w:p>
        </w:tc>
        <w:tc>
          <w:tcPr>
            <w:tcW w:w="60" w:type="dxa"/>
            <w:vAlign w:val="bottom"/>
          </w:tcPr>
          <w:p>
            <w:pPr>
              <w:spacing w:after="0"/>
              <w:rPr>
                <w:sz w:val="17"/>
                <w:szCs w:val="17"/>
                <w:color w:val="auto"/>
              </w:rPr>
            </w:pPr>
          </w:p>
        </w:tc>
      </w:tr>
      <w:tr>
        <w:trPr>
          <w:trHeight w:val="253"/>
        </w:trPr>
        <w:tc>
          <w:tcPr>
            <w:tcW w:w="472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9E9E9"/>
            </w:tcBorders>
          </w:tcPr>
          <w:p>
            <w:pPr>
              <w:spacing w:after="0"/>
              <w:rPr>
                <w:sz w:val="22"/>
                <w:szCs w:val="22"/>
                <w:color w:val="auto"/>
              </w:rPr>
            </w:pPr>
          </w:p>
        </w:tc>
      </w:tr>
      <w:tr>
        <w:trPr>
          <w:trHeight w:val="220"/>
        </w:trPr>
        <w:tc>
          <w:tcPr>
            <w:tcW w:w="472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Fixed-price</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567,224</w:t>
            </w:r>
          </w:p>
        </w:tc>
        <w:tc>
          <w:tcPr>
            <w:tcW w:w="20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601,903</w:t>
            </w:r>
          </w:p>
        </w:tc>
        <w:tc>
          <w:tcPr>
            <w:tcW w:w="60" w:type="dxa"/>
            <w:vAlign w:val="bottom"/>
            <w:shd w:val="clear" w:color="auto" w:fill="E9E9E9"/>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Cost reimbursable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54,835</w:t>
            </w:r>
          </w:p>
        </w:tc>
        <w:tc>
          <w:tcPr>
            <w:tcW w:w="60" w:type="dxa"/>
            <w:vAlign w:val="bottom"/>
          </w:tcPr>
          <w:p>
            <w:pPr>
              <w:spacing w:after="0"/>
              <w:rPr>
                <w:sz w:val="19"/>
                <w:szCs w:val="19"/>
                <w:color w:val="auto"/>
              </w:rPr>
            </w:pPr>
          </w:p>
        </w:tc>
      </w:tr>
      <w:tr>
        <w:trPr>
          <w:trHeight w:val="230"/>
        </w:trPr>
        <w:tc>
          <w:tcPr>
            <w:tcW w:w="472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Equipment and labor</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8,519</w:t>
            </w:r>
          </w:p>
        </w:tc>
        <w:tc>
          <w:tcPr>
            <w:tcW w:w="20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7,420</w:t>
            </w:r>
          </w:p>
        </w:tc>
        <w:tc>
          <w:tcPr>
            <w:tcW w:w="60" w:type="dxa"/>
            <w:vAlign w:val="bottom"/>
            <w:shd w:val="clear" w:color="auto" w:fill="E9E9E9"/>
          </w:tcPr>
          <w:p>
            <w:pPr>
              <w:spacing w:after="0"/>
              <w:rPr>
                <w:sz w:val="19"/>
                <w:szCs w:val="19"/>
                <w:color w:val="auto"/>
              </w:rPr>
            </w:pPr>
          </w:p>
        </w:tc>
      </w:tr>
      <w:tr>
        <w:trPr>
          <w:trHeight w:val="220"/>
        </w:trPr>
        <w:tc>
          <w:tcPr>
            <w:tcW w:w="47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632,806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664,158</w:t>
            </w:r>
          </w:p>
        </w:tc>
        <w:tc>
          <w:tcPr>
            <w:tcW w:w="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Projects started after the AECOM Sale Transactions ("Shimmick Projects") have focused on water infrastructure and other critical infrastructure. Projects that started prior to consummation of the AECOM Sale Transactions are referred to as "Legacy Projects".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revenue disaggregated by Shimmick Projects and Legacy Projects:</w:t>
      </w: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3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Pr>
          <w:p>
            <w:pPr>
              <w:spacing w:after="0"/>
              <w:rPr>
                <w:sz w:val="22"/>
                <w:szCs w:val="22"/>
                <w:color w:val="auto"/>
              </w:rPr>
            </w:pPr>
          </w:p>
        </w:tc>
      </w:tr>
      <w:tr>
        <w:trPr>
          <w:trHeight w:val="197"/>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ind w:left="60"/>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140"/>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60" w:type="dxa"/>
            <w:vAlign w:val="bottom"/>
          </w:tcPr>
          <w:p>
            <w:pPr>
              <w:spacing w:after="0"/>
              <w:rPr>
                <w:sz w:val="17"/>
                <w:szCs w:val="17"/>
                <w:color w:val="auto"/>
              </w:rPr>
            </w:pPr>
          </w:p>
        </w:tc>
      </w:tr>
      <w:tr>
        <w:trPr>
          <w:trHeight w:val="253"/>
        </w:trPr>
        <w:tc>
          <w:tcPr>
            <w:tcW w:w="37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Borders>
              <w:bottom w:val="single" w:sz="8" w:color="E9E9E9"/>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9E9E9"/>
            </w:tcBorders>
          </w:tcPr>
          <w:p>
            <w:pPr>
              <w:spacing w:after="0"/>
              <w:rPr>
                <w:sz w:val="22"/>
                <w:szCs w:val="22"/>
                <w:color w:val="auto"/>
              </w:rPr>
            </w:pPr>
          </w:p>
        </w:tc>
      </w:tr>
      <w:tr>
        <w:trPr>
          <w:trHeight w:val="220"/>
        </w:trPr>
        <w:tc>
          <w:tcPr>
            <w:tcW w:w="37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Shimmick Projects</w:t>
            </w:r>
          </w:p>
        </w:tc>
        <w:tc>
          <w:tcPr>
            <w:tcW w:w="180" w:type="dxa"/>
            <w:vAlign w:val="bottom"/>
            <w:shd w:val="clear" w:color="auto" w:fill="E9E9E9"/>
          </w:tcPr>
          <w:p>
            <w:pPr>
              <w:spacing w:after="0"/>
              <w:rPr>
                <w:sz w:val="19"/>
                <w:szCs w:val="19"/>
                <w:color w:val="auto"/>
              </w:rPr>
            </w:pPr>
          </w:p>
        </w:tc>
        <w:tc>
          <w:tcPr>
            <w:tcW w:w="18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E9E9E9"/>
          </w:tcPr>
          <w:p>
            <w:pPr>
              <w:ind w:left="820"/>
              <w:spacing w:after="0" w:line="220" w:lineRule="exact"/>
              <w:rPr>
                <w:sz w:val="20"/>
                <w:szCs w:val="20"/>
                <w:color w:val="auto"/>
              </w:rPr>
            </w:pPr>
            <w:r>
              <w:rPr>
                <w:rFonts w:ascii="Times New Roman" w:cs="Times New Roman" w:eastAsia="Times New Roman" w:hAnsi="Times New Roman"/>
                <w:sz w:val="20"/>
                <w:szCs w:val="20"/>
                <w:color w:val="auto"/>
                <w:w w:val="95"/>
              </w:rPr>
              <w:t>434,297</w:t>
            </w:r>
          </w:p>
        </w:tc>
        <w:tc>
          <w:tcPr>
            <w:tcW w:w="260" w:type="dxa"/>
            <w:vAlign w:val="bottom"/>
            <w:shd w:val="clear" w:color="auto" w:fill="E9E9E9"/>
          </w:tcPr>
          <w:p>
            <w:pPr>
              <w:spacing w:after="0"/>
              <w:rPr>
                <w:sz w:val="19"/>
                <w:szCs w:val="19"/>
                <w:color w:val="auto"/>
              </w:rPr>
            </w:pPr>
          </w:p>
        </w:tc>
        <w:tc>
          <w:tcPr>
            <w:tcW w:w="1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350,667</w:t>
            </w:r>
          </w:p>
        </w:tc>
        <w:tc>
          <w:tcPr>
            <w:tcW w:w="60" w:type="dxa"/>
            <w:vAlign w:val="bottom"/>
            <w:shd w:val="clear" w:color="auto" w:fill="E9E9E9"/>
          </w:tcPr>
          <w:p>
            <w:pPr>
              <w:spacing w:after="0"/>
              <w:rPr>
                <w:sz w:val="19"/>
                <w:szCs w:val="19"/>
                <w:color w:val="auto"/>
              </w:rPr>
            </w:pPr>
          </w:p>
        </w:tc>
      </w:tr>
      <w:tr>
        <w:trPr>
          <w:trHeight w:val="230"/>
        </w:trPr>
        <w:tc>
          <w:tcPr>
            <w:tcW w:w="370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Legacy Projects</w:t>
            </w:r>
          </w:p>
        </w:tc>
        <w:tc>
          <w:tcPr>
            <w:tcW w:w="180" w:type="dxa"/>
            <w:vAlign w:val="bottom"/>
            <w:tcBorders>
              <w:bottom w:val="single" w:sz="8" w:color="E9E9E9"/>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w w:val="95"/>
              </w:rPr>
              <w:t>198,509</w:t>
            </w:r>
          </w:p>
        </w:tc>
        <w:tc>
          <w:tcPr>
            <w:tcW w:w="260" w:type="dxa"/>
            <w:vAlign w:val="bottom"/>
            <w:tcBorders>
              <w:bottom w:val="single" w:sz="8" w:color="E9E9E9"/>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313,491</w:t>
            </w:r>
          </w:p>
        </w:tc>
        <w:tc>
          <w:tcPr>
            <w:tcW w:w="60" w:type="dxa"/>
            <w:vAlign w:val="bottom"/>
            <w:tcBorders>
              <w:bottom w:val="single" w:sz="8" w:color="E9E9E9"/>
            </w:tcBorders>
          </w:tcPr>
          <w:p>
            <w:pPr>
              <w:spacing w:after="0"/>
              <w:rPr>
                <w:sz w:val="19"/>
                <w:szCs w:val="19"/>
                <w:color w:val="auto"/>
              </w:rPr>
            </w:pPr>
          </w:p>
        </w:tc>
      </w:tr>
      <w:tr>
        <w:trPr>
          <w:trHeight w:val="220"/>
        </w:trPr>
        <w:tc>
          <w:tcPr>
            <w:tcW w:w="37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18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E9E9E9"/>
          </w:tcPr>
          <w:p>
            <w:pPr>
              <w:ind w:left="820"/>
              <w:spacing w:after="0" w:line="220" w:lineRule="exact"/>
              <w:rPr>
                <w:sz w:val="20"/>
                <w:szCs w:val="20"/>
                <w:color w:val="auto"/>
              </w:rPr>
            </w:pPr>
            <w:r>
              <w:rPr>
                <w:rFonts w:ascii="Times New Roman" w:cs="Times New Roman" w:eastAsia="Times New Roman" w:hAnsi="Times New Roman"/>
                <w:sz w:val="20"/>
                <w:szCs w:val="20"/>
                <w:color w:val="auto"/>
                <w:w w:val="95"/>
              </w:rPr>
              <w:t>632,806</w:t>
            </w:r>
          </w:p>
        </w:tc>
        <w:tc>
          <w:tcPr>
            <w:tcW w:w="260" w:type="dxa"/>
            <w:vAlign w:val="bottom"/>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664,158</w:t>
            </w:r>
          </w:p>
        </w:tc>
        <w:tc>
          <w:tcPr>
            <w:tcW w:w="60" w:type="dxa"/>
            <w:vAlign w:val="bottom"/>
            <w:shd w:val="clear" w:color="auto" w:fill="E9E9E9"/>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75" w:gutter="0" w:footer="0" w:header="0"/>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20" w:right="1440" w:bottom="175" w:gutter="0" w:footer="0" w:header="0"/>
          <w:type w:val="continuous"/>
        </w:sectPr>
      </w:pPr>
    </w:p>
    <w:bookmarkStart w:id="79" w:name="page80"/>
    <w:bookmarkEnd w:id="79"/>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Remaining performance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The Company had $1.1 billion of remaining performance obligations yet to be satisfied as of December 29,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Our remaining performance obligations have a weighted average life of 2.0 years as of December 29,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52525"/>
        </w:rPr>
        <w:t>Contract Balances</w:t>
      </w:r>
    </w:p>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52525"/>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3168650" cy="14605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8650" cy="146050"/>
                        </a:xfrm>
                        <a:prstGeom prst="rect">
                          <a:avLst/>
                        </a:prstGeom>
                        <a:solidFill>
                          <a:srgbClr val="E9E9E9"/>
                        </a:solidFill>
                      </wps:spPr>
                      <wps:bodyPr/>
                    </wps:wsp>
                  </a:graphicData>
                </a:graphic>
              </wp:anchor>
            </w:drawing>
          </mc:Choice>
          <mc:Fallback>
            <w:pict>
              <v:rect id="Shape 34" o:spid="_x0000_s1059" style="position:absolute;margin-left:0pt;margin-top:0.95pt;width:24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 assets, current and non-current:</w:t>
      </w:r>
    </w:p>
    <w:p>
      <w:pPr>
        <w:ind w:left="200"/>
        <w:spacing w:after="0"/>
        <w:rPr>
          <w:sz w:val="20"/>
          <w:szCs w:val="20"/>
          <w:color w:val="auto"/>
        </w:rPr>
      </w:pPr>
      <w:r>
        <w:rPr>
          <w:rFonts w:ascii="Times New Roman" w:cs="Times New Roman" w:eastAsia="Times New Roman" w:hAnsi="Times New Roman"/>
          <w:sz w:val="20"/>
          <w:szCs w:val="20"/>
          <w:color w:val="auto"/>
        </w:rPr>
        <w:t>Costs and estimated earnings in excess of billings on</w:t>
      </w:r>
    </w:p>
    <w:p>
      <w:pPr>
        <w:ind w:left="200"/>
        <w:spacing w:after="0"/>
        <w:rPr>
          <w:sz w:val="20"/>
          <w:szCs w:val="20"/>
          <w:color w:val="auto"/>
        </w:rPr>
      </w:pPr>
      <w:r>
        <w:rPr>
          <w:rFonts w:ascii="Times New Roman" w:cs="Times New Roman" w:eastAsia="Times New Roman" w:hAnsi="Times New Roman"/>
          <w:sz w:val="20"/>
          <w:szCs w:val="20"/>
          <w:color w:val="auto"/>
        </w:rPr>
        <w:t>uncompleted contracts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3168650" cy="14541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8650" cy="145415"/>
                        </a:xfrm>
                        <a:prstGeom prst="rect">
                          <a:avLst/>
                        </a:prstGeom>
                        <a:solidFill>
                          <a:srgbClr val="E9E9E9"/>
                        </a:solidFill>
                      </wps:spPr>
                      <wps:bodyPr/>
                    </wps:wsp>
                  </a:graphicData>
                </a:graphic>
              </wp:anchor>
            </w:drawing>
          </mc:Choice>
          <mc:Fallback>
            <w:pict>
              <v:rect id="Shape 35" o:spid="_x0000_s1060" style="position:absolute;margin-left:0pt;margin-top:-0.3999pt;width:249.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ind w:left="200"/>
        <w:spacing w:after="0"/>
        <w:rPr>
          <w:sz w:val="20"/>
          <w:szCs w:val="20"/>
          <w:color w:val="auto"/>
        </w:rPr>
      </w:pPr>
      <w:r>
        <w:rPr>
          <w:rFonts w:ascii="Times New Roman" w:cs="Times New Roman" w:eastAsia="Times New Roman" w:hAnsi="Times New Roman"/>
          <w:sz w:val="20"/>
          <w:szCs w:val="20"/>
          <w:color w:val="auto"/>
        </w:rPr>
        <w:t>Retainage receivable</w:t>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Total contract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 liabilities, current and non-current: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3168650" cy="14541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8650" cy="145415"/>
                        </a:xfrm>
                        <a:prstGeom prst="rect">
                          <a:avLst/>
                        </a:prstGeom>
                        <a:solidFill>
                          <a:srgbClr val="E9E9E9"/>
                        </a:solidFill>
                      </wps:spPr>
                      <wps:bodyPr/>
                    </wps:wsp>
                  </a:graphicData>
                </a:graphic>
              </wp:anchor>
            </w:drawing>
          </mc:Choice>
          <mc:Fallback>
            <w:pict>
              <v:rect id="Shape 36" o:spid="_x0000_s1061" style="position:absolute;margin-left:0pt;margin-top:-10.4999pt;width:249.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Billings on uncompleted contracts in excess of costs and</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estimated earnings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3168650" cy="14541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8650" cy="145415"/>
                        </a:xfrm>
                        <a:prstGeom prst="rect">
                          <a:avLst/>
                        </a:prstGeom>
                        <a:solidFill>
                          <a:srgbClr val="E9E9E9"/>
                        </a:solidFill>
                      </wps:spPr>
                      <wps:bodyPr/>
                    </wps:wsp>
                  </a:graphicData>
                </a:graphic>
              </wp:anchor>
            </w:drawing>
          </mc:Choice>
          <mc:Fallback>
            <w:pict>
              <v:rect id="Shape 37" o:spid="_x0000_s1062" style="position:absolute;margin-left:0pt;margin-top:-0.3999pt;width:249.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ind w:left="200"/>
        <w:spacing w:after="0"/>
        <w:rPr>
          <w:sz w:val="20"/>
          <w:szCs w:val="20"/>
          <w:color w:val="auto"/>
        </w:rPr>
      </w:pPr>
      <w:r>
        <w:rPr>
          <w:rFonts w:ascii="Times New Roman" w:cs="Times New Roman" w:eastAsia="Times New Roman" w:hAnsi="Times New Roman"/>
          <w:sz w:val="20"/>
          <w:szCs w:val="20"/>
          <w:color w:val="auto"/>
        </w:rPr>
        <w:t>Forward loss reserve</w:t>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Total contract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3168650" cy="15176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8650" cy="151765"/>
                        </a:xfrm>
                        <a:prstGeom prst="rect">
                          <a:avLst/>
                        </a:prstGeom>
                        <a:solidFill>
                          <a:srgbClr val="E9E9E9"/>
                        </a:solidFill>
                      </wps:spPr>
                      <wps:bodyPr/>
                    </wps:wsp>
                  </a:graphicData>
                </a:graphic>
              </wp:anchor>
            </w:drawing>
          </mc:Choice>
          <mc:Fallback>
            <w:pict>
              <v:rect id="Shape 38" o:spid="_x0000_s1063" style="position:absolute;margin-left:0pt;margin-top:-0.2999pt;width:249.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ind w:left="400"/>
        <w:spacing w:after="0"/>
        <w:rPr>
          <w:sz w:val="20"/>
          <w:szCs w:val="20"/>
          <w:color w:val="auto"/>
        </w:rPr>
      </w:pPr>
      <w:r>
        <w:rPr>
          <w:rFonts w:ascii="Times New Roman" w:cs="Times New Roman" w:eastAsia="Times New Roman" w:hAnsi="Times New Roman"/>
          <w:sz w:val="20"/>
          <w:szCs w:val="20"/>
          <w:color w:val="auto"/>
        </w:rPr>
        <w:t>Net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December 29,</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20"/>
        </w:trPr>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r>
      <w:tr>
        <w:trPr>
          <w:trHeight w:val="362"/>
        </w:trPr>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125,943</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9,823</w:t>
            </w:r>
          </w:p>
        </w:tc>
      </w:tr>
      <w:tr>
        <w:trPr>
          <w:trHeight w:val="98"/>
        </w:trPr>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30"/>
        </w:trPr>
        <w:tc>
          <w:tcPr>
            <w:tcW w:w="140" w:type="dxa"/>
            <w:vAlign w:val="bottom"/>
            <w:tcBorders>
              <w:bottom w:val="single" w:sz="8" w:color="E9E9E9"/>
            </w:tcBorders>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48,316</w:t>
            </w:r>
          </w:p>
        </w:tc>
        <w:tc>
          <w:tcPr>
            <w:tcW w:w="140" w:type="dxa"/>
            <w:vAlign w:val="bottom"/>
            <w:tcBorders>
              <w:bottom w:val="single" w:sz="8" w:color="E9E9E9"/>
            </w:tcBorders>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48,805</w:t>
            </w:r>
          </w:p>
        </w:tc>
        <w:tc>
          <w:tcPr>
            <w:tcW w:w="140" w:type="dxa"/>
            <w:vAlign w:val="bottom"/>
            <w:tcBorders>
              <w:bottom w:val="single" w:sz="8" w:color="E9E9E9"/>
            </w:tcBorders>
            <w:shd w:val="clear" w:color="auto" w:fill="E9E9E9"/>
          </w:tcPr>
          <w:p>
            <w:pPr>
              <w:spacing w:after="0"/>
              <w:rPr>
                <w:sz w:val="19"/>
                <w:szCs w:val="19"/>
                <w:color w:val="auto"/>
              </w:rPr>
            </w:pPr>
          </w:p>
        </w:tc>
        <w:tc>
          <w:tcPr>
            <w:tcW w:w="200" w:type="dxa"/>
            <w:vAlign w:val="bottom"/>
            <w:tcBorders>
              <w:bottom w:val="single" w:sz="8" w:color="auto"/>
            </w:tcBorders>
            <w:shd w:val="clear" w:color="auto" w:fill="E9E9E9"/>
          </w:tcPr>
          <w:p>
            <w:pPr>
              <w:spacing w:after="0"/>
              <w:rPr>
                <w:sz w:val="19"/>
                <w:szCs w:val="19"/>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(489)</w:t>
            </w:r>
          </w:p>
        </w:tc>
      </w:tr>
      <w:tr>
        <w:trPr>
          <w:trHeight w:val="256"/>
        </w:trPr>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174,259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164,925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9,334</w:t>
            </w:r>
          </w:p>
        </w:tc>
      </w:tr>
      <w:tr>
        <w:trPr>
          <w:trHeight w:val="194"/>
        </w:trPr>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1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r>
      <w:tr>
        <w:trPr>
          <w:trHeight w:val="362"/>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(48,841)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(56,963)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8,122</w:t>
            </w:r>
          </w:p>
        </w:tc>
      </w:tr>
      <w:tr>
        <w:trPr>
          <w:trHeight w:val="98"/>
        </w:trPr>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30"/>
        </w:trPr>
        <w:tc>
          <w:tcPr>
            <w:tcW w:w="140" w:type="dxa"/>
            <w:vAlign w:val="bottom"/>
            <w:tcBorders>
              <w:bottom w:val="single" w:sz="8" w:color="E9E9E9"/>
            </w:tcBorders>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(70,159)</w:t>
            </w:r>
          </w:p>
        </w:tc>
        <w:tc>
          <w:tcPr>
            <w:tcW w:w="140" w:type="dxa"/>
            <w:vAlign w:val="bottom"/>
            <w:tcBorders>
              <w:bottom w:val="single" w:sz="8" w:color="E9E9E9"/>
            </w:tcBorders>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(108,608)</w:t>
            </w:r>
          </w:p>
        </w:tc>
        <w:tc>
          <w:tcPr>
            <w:tcW w:w="140" w:type="dxa"/>
            <w:vAlign w:val="bottom"/>
            <w:tcBorders>
              <w:bottom w:val="single" w:sz="8" w:color="E9E9E9"/>
            </w:tcBorders>
            <w:shd w:val="clear" w:color="auto" w:fill="E9E9E9"/>
          </w:tcPr>
          <w:p>
            <w:pPr>
              <w:spacing w:after="0"/>
              <w:rPr>
                <w:sz w:val="19"/>
                <w:szCs w:val="19"/>
                <w:color w:val="auto"/>
              </w:rPr>
            </w:pPr>
          </w:p>
        </w:tc>
        <w:tc>
          <w:tcPr>
            <w:tcW w:w="200" w:type="dxa"/>
            <w:vAlign w:val="bottom"/>
            <w:tcBorders>
              <w:bottom w:val="single" w:sz="8" w:color="auto"/>
            </w:tcBorders>
            <w:shd w:val="clear" w:color="auto" w:fill="E9E9E9"/>
          </w:tcPr>
          <w:p>
            <w:pPr>
              <w:spacing w:after="0"/>
              <w:rPr>
                <w:sz w:val="19"/>
                <w:szCs w:val="19"/>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38,449</w:t>
            </w:r>
          </w:p>
        </w:tc>
      </w:tr>
      <w:tr>
        <w:trPr>
          <w:trHeight w:val="220"/>
        </w:trPr>
        <w:tc>
          <w:tcPr>
            <w:tcW w:w="140" w:type="dxa"/>
            <w:vAlign w:val="bottom"/>
            <w:tcBorders>
              <w:bottom w:val="single" w:sz="8" w:color="E9E9E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(119,000)</w:t>
            </w:r>
          </w:p>
        </w:tc>
        <w:tc>
          <w:tcPr>
            <w:tcW w:w="14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(165,571)</w:t>
            </w:r>
          </w:p>
        </w:tc>
        <w:tc>
          <w:tcPr>
            <w:tcW w:w="140" w:type="dxa"/>
            <w:vAlign w:val="bottom"/>
            <w:tcBorders>
              <w:bottom w:val="single" w:sz="8" w:color="E9E9E9"/>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46,571</w:t>
            </w:r>
          </w:p>
        </w:tc>
      </w:tr>
      <w:tr>
        <w:trPr>
          <w:trHeight w:val="220"/>
        </w:trPr>
        <w:tc>
          <w:tcPr>
            <w:tcW w:w="14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55,259</w:t>
            </w:r>
          </w:p>
        </w:tc>
        <w:tc>
          <w:tcPr>
            <w:tcW w:w="14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(646)</w:t>
            </w:r>
          </w:p>
        </w:tc>
        <w:tc>
          <w:tcPr>
            <w:tcW w:w="140" w:type="dxa"/>
            <w:vAlign w:val="bottom"/>
            <w:shd w:val="clear" w:color="auto" w:fill="E9E9E9"/>
          </w:tcPr>
          <w:p>
            <w:pPr>
              <w:spacing w:after="0"/>
              <w:rPr>
                <w:sz w:val="19"/>
                <w:szCs w:val="19"/>
                <w:color w:val="auto"/>
              </w:rPr>
            </w:pPr>
          </w:p>
        </w:tc>
        <w:tc>
          <w:tcPr>
            <w:tcW w:w="2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55,905</w:t>
            </w:r>
          </w:p>
        </w:tc>
      </w:tr>
      <w:tr>
        <w:trPr>
          <w:trHeight w:val="20"/>
        </w:trPr>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4720" w:space="280"/>
            <w:col w:w="4360"/>
          </w:cols>
          <w:pgMar w:left="1440" w:top="1440" w:right="1440" w:bottom="175" w:gutter="0" w:footer="0" w:header="0"/>
          <w:type w:val="continuous"/>
        </w:sectPr>
      </w:pPr>
    </w:p>
    <w:p>
      <w:pPr>
        <w:spacing w:after="0" w:line="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52525"/>
        </w:rPr>
        <w:t>Contract terms with customers include the timing of billing and payment, which usually differs from the timing of revenue recognition. As a result, the Company carries contract assets and liabilities within the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consolidated balance sheets within “Contract assets, current,” “Contract assets, non-current,” “Contract liabilities, current" and “Contract liabilities, non-current." Costs and estimated earnings in excess of billings on uncompleted contracts consists of revenue recognized in excess of billings.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52525"/>
        </w:rPr>
        <w:t xml:space="preserve">Billings on uncompleted contracts in excess of costs and estimated earnings consists of billings in excess of revenue recognized. The Company recognized revenue </w:t>
      </w:r>
      <w:r>
        <w:rPr>
          <w:rFonts w:ascii="Times New Roman" w:cs="Times New Roman" w:eastAsia="Times New Roman" w:hAnsi="Times New Roman"/>
          <w:sz w:val="20"/>
          <w:szCs w:val="20"/>
          <w:color w:val="000000"/>
        </w:rPr>
        <w:t>of $73</w:t>
      </w:r>
      <w:r>
        <w:rPr>
          <w:rFonts w:ascii="Times New Roman" w:cs="Times New Roman" w:eastAsia="Times New Roman" w:hAnsi="Times New Roman"/>
          <w:sz w:val="20"/>
          <w:szCs w:val="20"/>
          <w:color w:val="252525"/>
        </w:rPr>
        <w:t xml:space="preserve"> million during the fiscal year ended December 29, 2023 that was included in contract liabilities as of December 30, 2022.</w:t>
      </w:r>
    </w:p>
    <w:p>
      <w:pPr>
        <w:spacing w:after="0" w:line="1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sectPr>
          <w:pgSz w:w="12240" w:h="15840" w:orient="portrait"/>
          <w:cols w:equalWidth="0" w:num="1">
            <w:col w:w="9360"/>
          </w:cols>
          <w:pgMar w:left="1440" w:top="1440"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40" w:right="1440" w:bottom="175" w:gutter="0" w:footer="0" w:header="0"/>
          <w:type w:val="continuous"/>
        </w:sectPr>
      </w:pPr>
    </w:p>
    <w:bookmarkStart w:id="80" w:name="page81"/>
    <w:bookmarkEnd w:id="80"/>
    <w:tbl>
      <w:tblPr>
        <w:tblLayout w:type="fixed"/>
        <w:tblInd w:w="94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8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7"/>
              </w:rPr>
              <w:t>December 30,</w:t>
            </w:r>
          </w:p>
        </w:tc>
        <w:tc>
          <w:tcPr>
            <w:tcW w:w="0" w:type="dxa"/>
            <w:vAlign w:val="bottom"/>
          </w:tcPr>
          <w:p>
            <w:pPr>
              <w:spacing w:after="0"/>
              <w:rPr>
                <w:sz w:val="1"/>
                <w:szCs w:val="1"/>
                <w:color w:val="auto"/>
              </w:rPr>
            </w:pPr>
          </w:p>
        </w:tc>
      </w:tr>
      <w:tr>
        <w:trPr>
          <w:trHeight w:val="253"/>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Total accounts receivable, gross</w:t>
            </w:r>
          </w:p>
        </w:tc>
        <w:tc>
          <w:tcPr>
            <w:tcW w:w="380" w:type="dxa"/>
            <w:vAlign w:val="bottom"/>
            <w:gridSpan w:val="2"/>
            <w:shd w:val="clear" w:color="auto" w:fill="E9E9E9"/>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55,202</w:t>
            </w:r>
          </w:p>
        </w:tc>
        <w:tc>
          <w:tcPr>
            <w:tcW w:w="120" w:type="dxa"/>
            <w:vAlign w:val="bottom"/>
            <w:shd w:val="clear" w:color="auto" w:fill="E9E9E9"/>
          </w:tcPr>
          <w:p>
            <w:pPr>
              <w:spacing w:after="0"/>
              <w:rPr>
                <w:sz w:val="19"/>
                <w:szCs w:val="19"/>
                <w:color w:val="auto"/>
              </w:rPr>
            </w:pPr>
          </w:p>
        </w:tc>
        <w:tc>
          <w:tcPr>
            <w:tcW w:w="320" w:type="dxa"/>
            <w:vAlign w:val="bottom"/>
            <w:gridSpan w:val="2"/>
            <w:shd w:val="clear" w:color="auto" w:fill="E9E9E9"/>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57,395</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0" w:type="dxa"/>
            <w:vAlign w:val="bottom"/>
          </w:tcPr>
          <w:p>
            <w:pPr>
              <w:spacing w:after="0"/>
              <w:rPr>
                <w:sz w:val="1"/>
                <w:szCs w:val="1"/>
                <w:color w:val="auto"/>
              </w:rPr>
            </w:pPr>
          </w:p>
        </w:tc>
      </w:tr>
      <w:tr>
        <w:trPr>
          <w:trHeight w:val="220"/>
        </w:trPr>
        <w:tc>
          <w:tcPr>
            <w:tcW w:w="4720" w:type="dxa"/>
            <w:vAlign w:val="bottom"/>
            <w:tcBorders>
              <w:top w:val="single" w:sz="8" w:color="E9E9E9"/>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Accounts receivable, net</w:t>
            </w:r>
          </w:p>
        </w:tc>
        <w:tc>
          <w:tcPr>
            <w:tcW w:w="120" w:type="dxa"/>
            <w:vAlign w:val="bottom"/>
            <w:tcBorders>
              <w:top w:val="single" w:sz="8" w:color="E9E9E9"/>
            </w:tcBorders>
            <w:shd w:val="clear" w:color="auto" w:fill="E9E9E9"/>
          </w:tcPr>
          <w:p>
            <w:pPr>
              <w:spacing w:after="0"/>
              <w:rPr>
                <w:sz w:val="19"/>
                <w:szCs w:val="19"/>
                <w:color w:val="auto"/>
              </w:rPr>
            </w:pPr>
          </w:p>
        </w:tc>
        <w:tc>
          <w:tcPr>
            <w:tcW w:w="260" w:type="dxa"/>
            <w:vAlign w:val="bottom"/>
            <w:tcBorders>
              <w:top w:val="single" w:sz="8" w:color="auto"/>
              <w:bottom w:val="single" w:sz="8" w:color="auto"/>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54,178</w:t>
            </w:r>
          </w:p>
        </w:tc>
        <w:tc>
          <w:tcPr>
            <w:tcW w:w="120" w:type="dxa"/>
            <w:vAlign w:val="bottom"/>
            <w:tcBorders>
              <w:top w:val="single" w:sz="8" w:color="E9E9E9"/>
            </w:tcBorders>
            <w:shd w:val="clear" w:color="auto" w:fill="E9E9E9"/>
          </w:tcPr>
          <w:p>
            <w:pPr>
              <w:spacing w:after="0"/>
              <w:rPr>
                <w:sz w:val="19"/>
                <w:szCs w:val="19"/>
                <w:color w:val="auto"/>
              </w:rPr>
            </w:pPr>
          </w:p>
        </w:tc>
        <w:tc>
          <w:tcPr>
            <w:tcW w:w="80" w:type="dxa"/>
            <w:vAlign w:val="bottom"/>
            <w:tcBorders>
              <w:top w:val="single" w:sz="8" w:color="E9E9E9"/>
            </w:tcBorders>
            <w:shd w:val="clear" w:color="auto" w:fill="E9E9E9"/>
          </w:tcPr>
          <w:p>
            <w:pPr>
              <w:spacing w:after="0"/>
              <w:rPr>
                <w:sz w:val="19"/>
                <w:szCs w:val="19"/>
                <w:color w:val="auto"/>
              </w:rPr>
            </w:pPr>
          </w:p>
        </w:tc>
        <w:tc>
          <w:tcPr>
            <w:tcW w:w="240" w:type="dxa"/>
            <w:vAlign w:val="bottom"/>
            <w:tcBorders>
              <w:top w:val="single" w:sz="8" w:color="auto"/>
              <w:bottom w:val="single" w:sz="8" w:color="auto"/>
            </w:tcBorders>
            <w:shd w:val="clear" w:color="auto" w:fill="E9E9E9"/>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56,430</w:t>
            </w:r>
          </w:p>
        </w:tc>
        <w:tc>
          <w:tcPr>
            <w:tcW w:w="60" w:type="dxa"/>
            <w:vAlign w:val="bottom"/>
            <w:tcBorders>
              <w:top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 xml:space="preserve">Substantially all contract assets as of </w:t>
      </w:r>
      <w:r>
        <w:rPr>
          <w:rFonts w:ascii="Times New Roman" w:cs="Times New Roman" w:eastAsia="Times New Roman" w:hAnsi="Times New Roman"/>
          <w:sz w:val="20"/>
          <w:szCs w:val="20"/>
          <w:color w:val="252525"/>
        </w:rPr>
        <w:t>December</w:t>
      </w:r>
      <w:r>
        <w:rPr>
          <w:rFonts w:ascii="Times New Roman" w:cs="Times New Roman" w:eastAsia="Times New Roman" w:hAnsi="Times New Roman"/>
          <w:sz w:val="20"/>
          <w:szCs w:val="20"/>
          <w:color w:val="auto"/>
        </w:rPr>
        <w:t xml:space="preserve"> 29, 2023 and December 30, 2022 are expected to be collected within the Company’s estimated operating cycle, except for retainage and claims pertaining to certain contracts. The Company’s operating cycle may extend beyond one year.</w:t>
      </w:r>
    </w:p>
    <w:p>
      <w:pPr>
        <w:spacing w:after="0" w:line="14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The Company may take legal action if it and the customer cannot reach a mutually acceptable resolution.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Information about significant customers</w:t>
            </w:r>
          </w:p>
        </w:tc>
        <w:tc>
          <w:tcPr>
            <w:tcW w:w="1820" w:type="dxa"/>
            <w:vAlign w:val="bottom"/>
          </w:tcPr>
          <w:p>
            <w:pPr>
              <w:spacing w:after="0"/>
              <w:rPr>
                <w:sz w:val="22"/>
                <w:szCs w:val="22"/>
                <w:color w:val="auto"/>
              </w:rPr>
            </w:pPr>
          </w:p>
        </w:tc>
      </w:tr>
      <w:tr>
        <w:trPr>
          <w:trHeight w:val="420"/>
        </w:trPr>
        <w:tc>
          <w:tcPr>
            <w:tcW w:w="940" w:type="dxa"/>
            <w:vAlign w:val="bottom"/>
          </w:tcPr>
          <w:p>
            <w:pPr>
              <w:spacing w:after="0"/>
              <w:rPr>
                <w:sz w:val="24"/>
                <w:szCs w:val="24"/>
                <w:color w:val="auto"/>
              </w:rPr>
            </w:pPr>
          </w:p>
        </w:tc>
        <w:tc>
          <w:tcPr>
            <w:tcW w:w="5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Significant Customers as a Percentage of Accounts Receivable,</w:t>
            </w:r>
          </w:p>
        </w:tc>
        <w:tc>
          <w:tcPr>
            <w:tcW w:w="1820" w:type="dxa"/>
            <w:vAlign w:val="bottom"/>
          </w:tcPr>
          <w:p>
            <w:pPr>
              <w:spacing w:after="0"/>
              <w:rPr>
                <w:sz w:val="24"/>
                <w:szCs w:val="24"/>
                <w:color w:val="auto"/>
              </w:rPr>
            </w:pPr>
          </w:p>
        </w:tc>
      </w:tr>
      <w:tr>
        <w:trPr>
          <w:trHeight w:val="253"/>
        </w:trPr>
        <w:tc>
          <w:tcPr>
            <w:tcW w:w="940" w:type="dxa"/>
            <w:vAlign w:val="bottom"/>
          </w:tcPr>
          <w:p>
            <w:pPr>
              <w:spacing w:after="0"/>
              <w:rPr>
                <w:sz w:val="22"/>
                <w:szCs w:val="22"/>
                <w:color w:val="auto"/>
              </w:rPr>
            </w:pPr>
          </w:p>
        </w:tc>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1820" w:type="dxa"/>
            <w:vAlign w:val="bottom"/>
            <w:tcBorders>
              <w:bottom w:val="single" w:sz="8" w:color="E9E9E9"/>
            </w:tcBorders>
          </w:tcPr>
          <w:p>
            <w:pPr>
              <w:spacing w:after="0"/>
              <w:rPr>
                <w:sz w:val="22"/>
                <w:szCs w:val="22"/>
                <w:color w:val="auto"/>
              </w:rPr>
            </w:pPr>
          </w:p>
        </w:tc>
      </w:tr>
      <w:tr>
        <w:trPr>
          <w:trHeight w:val="220"/>
        </w:trPr>
        <w:tc>
          <w:tcPr>
            <w:tcW w:w="940" w:type="dxa"/>
            <w:vAlign w:val="bottom"/>
          </w:tcPr>
          <w:p>
            <w:pPr>
              <w:spacing w:after="0"/>
              <w:rPr>
                <w:sz w:val="19"/>
                <w:szCs w:val="19"/>
                <w:color w:val="auto"/>
              </w:rPr>
            </w:pPr>
          </w:p>
        </w:tc>
        <w:tc>
          <w:tcPr>
            <w:tcW w:w="566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 of December 29, 2023</w:t>
            </w:r>
          </w:p>
        </w:tc>
        <w:tc>
          <w:tcPr>
            <w:tcW w:w="1820" w:type="dxa"/>
            <w:vAlign w:val="bottom"/>
            <w:shd w:val="clear" w:color="auto" w:fill="E9E9E9"/>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Customer one</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32.5%</w:t>
            </w:r>
          </w:p>
        </w:tc>
      </w:tr>
      <w:tr>
        <w:trPr>
          <w:trHeight w:val="230"/>
        </w:trPr>
        <w:tc>
          <w:tcPr>
            <w:tcW w:w="940" w:type="dxa"/>
            <w:vAlign w:val="bottom"/>
          </w:tcPr>
          <w:p>
            <w:pPr>
              <w:spacing w:after="0"/>
              <w:rPr>
                <w:sz w:val="19"/>
                <w:szCs w:val="19"/>
                <w:color w:val="auto"/>
              </w:rPr>
            </w:pPr>
          </w:p>
        </w:tc>
        <w:tc>
          <w:tcPr>
            <w:tcW w:w="56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Customer two</w:t>
            </w:r>
          </w:p>
        </w:tc>
        <w:tc>
          <w:tcPr>
            <w:tcW w:w="1820" w:type="dxa"/>
            <w:vAlign w:val="bottom"/>
            <w:shd w:val="clear" w:color="auto" w:fill="E9E9E9"/>
          </w:tcPr>
          <w:p>
            <w:pPr>
              <w:jc w:val="right"/>
              <w:ind w:right="540"/>
              <w:spacing w:after="0"/>
              <w:rPr>
                <w:sz w:val="20"/>
                <w:szCs w:val="20"/>
                <w:color w:val="auto"/>
              </w:rPr>
            </w:pPr>
            <w:r>
              <w:rPr>
                <w:rFonts w:ascii="Times New Roman" w:cs="Times New Roman" w:eastAsia="Times New Roman" w:hAnsi="Times New Roman"/>
                <w:sz w:val="20"/>
                <w:szCs w:val="20"/>
                <w:color w:val="auto"/>
              </w:rPr>
              <w:t>21.7%</w:t>
            </w:r>
          </w:p>
        </w:tc>
      </w:tr>
      <w:tr>
        <w:trPr>
          <w:trHeight w:val="460"/>
        </w:trPr>
        <w:tc>
          <w:tcPr>
            <w:tcW w:w="9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of December 30, 2022</w:t>
            </w:r>
          </w:p>
        </w:tc>
        <w:tc>
          <w:tcPr>
            <w:tcW w:w="1820" w:type="dxa"/>
            <w:vAlign w:val="bottom"/>
          </w:tcPr>
          <w:p>
            <w:pPr>
              <w:spacing w:after="0"/>
              <w:rPr>
                <w:sz w:val="24"/>
                <w:szCs w:val="24"/>
                <w:color w:val="auto"/>
              </w:rPr>
            </w:pPr>
          </w:p>
        </w:tc>
      </w:tr>
      <w:tr>
        <w:trPr>
          <w:trHeight w:val="230"/>
        </w:trPr>
        <w:tc>
          <w:tcPr>
            <w:tcW w:w="940" w:type="dxa"/>
            <w:vAlign w:val="bottom"/>
          </w:tcPr>
          <w:p>
            <w:pPr>
              <w:spacing w:after="0"/>
              <w:rPr>
                <w:sz w:val="19"/>
                <w:szCs w:val="19"/>
                <w:color w:val="auto"/>
              </w:rPr>
            </w:pPr>
          </w:p>
        </w:tc>
        <w:tc>
          <w:tcPr>
            <w:tcW w:w="56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Customer one</w:t>
            </w:r>
          </w:p>
        </w:tc>
        <w:tc>
          <w:tcPr>
            <w:tcW w:w="1820" w:type="dxa"/>
            <w:vAlign w:val="bottom"/>
            <w:shd w:val="clear" w:color="auto" w:fill="E9E9E9"/>
          </w:tcPr>
          <w:p>
            <w:pPr>
              <w:jc w:val="right"/>
              <w:ind w:right="540"/>
              <w:spacing w:after="0"/>
              <w:rPr>
                <w:sz w:val="20"/>
                <w:szCs w:val="20"/>
                <w:color w:val="auto"/>
              </w:rPr>
            </w:pPr>
            <w:r>
              <w:rPr>
                <w:rFonts w:ascii="Times New Roman" w:cs="Times New Roman" w:eastAsia="Times New Roman" w:hAnsi="Times New Roman"/>
                <w:sz w:val="20"/>
                <w:szCs w:val="20"/>
                <w:color w:val="auto"/>
              </w:rPr>
              <w:t>31.4%</w:t>
            </w:r>
          </w:p>
        </w:tc>
      </w:tr>
      <w:tr>
        <w:trPr>
          <w:trHeight w:val="230"/>
        </w:trPr>
        <w:tc>
          <w:tcPr>
            <w:tcW w:w="9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Customer two</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21.4%</w:t>
            </w:r>
          </w:p>
        </w:tc>
      </w:tr>
      <w:tr>
        <w:trPr>
          <w:trHeight w:val="230"/>
        </w:trPr>
        <w:tc>
          <w:tcPr>
            <w:tcW w:w="940" w:type="dxa"/>
            <w:vAlign w:val="bottom"/>
          </w:tcPr>
          <w:p>
            <w:pPr>
              <w:spacing w:after="0"/>
              <w:rPr>
                <w:sz w:val="19"/>
                <w:szCs w:val="19"/>
                <w:color w:val="auto"/>
              </w:rPr>
            </w:pPr>
          </w:p>
        </w:tc>
        <w:tc>
          <w:tcPr>
            <w:tcW w:w="56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Customer three</w:t>
            </w:r>
          </w:p>
        </w:tc>
        <w:tc>
          <w:tcPr>
            <w:tcW w:w="1820" w:type="dxa"/>
            <w:vAlign w:val="bottom"/>
            <w:shd w:val="clear" w:color="auto" w:fill="E9E9E9"/>
          </w:tcPr>
          <w:p>
            <w:pPr>
              <w:jc w:val="right"/>
              <w:ind w:right="540"/>
              <w:spacing w:after="0"/>
              <w:rPr>
                <w:sz w:val="20"/>
                <w:szCs w:val="20"/>
                <w:color w:val="auto"/>
              </w:rPr>
            </w:pPr>
            <w:r>
              <w:rPr>
                <w:rFonts w:ascii="Times New Roman" w:cs="Times New Roman" w:eastAsia="Times New Roman" w:hAnsi="Times New Roman"/>
                <w:sz w:val="20"/>
                <w:szCs w:val="20"/>
                <w:color w:val="auto"/>
              </w:rPr>
              <w:t>14.4%</w:t>
            </w:r>
          </w:p>
        </w:tc>
      </w:tr>
      <w:tr>
        <w:trPr>
          <w:trHeight w:val="460"/>
        </w:trPr>
        <w:tc>
          <w:tcPr>
            <w:tcW w:w="940" w:type="dxa"/>
            <w:vAlign w:val="bottom"/>
          </w:tcPr>
          <w:p>
            <w:pPr>
              <w:spacing w:after="0"/>
              <w:rPr>
                <w:sz w:val="24"/>
                <w:szCs w:val="24"/>
                <w:color w:val="auto"/>
              </w:rPr>
            </w:pPr>
          </w:p>
        </w:tc>
        <w:tc>
          <w:tcPr>
            <w:tcW w:w="5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Significant Customers as a Percentage of Revenue</w:t>
            </w:r>
          </w:p>
        </w:tc>
        <w:tc>
          <w:tcPr>
            <w:tcW w:w="1820" w:type="dxa"/>
            <w:vAlign w:val="bottom"/>
            <w:tcBorders>
              <w:bottom w:val="single" w:sz="8" w:color="E9E9E9"/>
            </w:tcBorders>
          </w:tcPr>
          <w:p>
            <w:pPr>
              <w:spacing w:after="0"/>
              <w:rPr>
                <w:sz w:val="24"/>
                <w:szCs w:val="24"/>
                <w:color w:val="auto"/>
              </w:rPr>
            </w:pPr>
          </w:p>
        </w:tc>
      </w:tr>
      <w:tr>
        <w:trPr>
          <w:trHeight w:val="220"/>
        </w:trPr>
        <w:tc>
          <w:tcPr>
            <w:tcW w:w="940" w:type="dxa"/>
            <w:vAlign w:val="bottom"/>
          </w:tcPr>
          <w:p>
            <w:pPr>
              <w:spacing w:after="0"/>
              <w:rPr>
                <w:sz w:val="19"/>
                <w:szCs w:val="19"/>
                <w:color w:val="auto"/>
              </w:rPr>
            </w:pPr>
          </w:p>
        </w:tc>
        <w:tc>
          <w:tcPr>
            <w:tcW w:w="566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Fiscal Year Ended December 29, 2023</w:t>
            </w:r>
          </w:p>
        </w:tc>
        <w:tc>
          <w:tcPr>
            <w:tcW w:w="1820" w:type="dxa"/>
            <w:vAlign w:val="bottom"/>
            <w:shd w:val="clear" w:color="auto" w:fill="E9E9E9"/>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Customer one</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16.7%</w:t>
            </w:r>
          </w:p>
        </w:tc>
      </w:tr>
      <w:tr>
        <w:trPr>
          <w:trHeight w:val="230"/>
        </w:trPr>
        <w:tc>
          <w:tcPr>
            <w:tcW w:w="940" w:type="dxa"/>
            <w:vAlign w:val="bottom"/>
          </w:tcPr>
          <w:p>
            <w:pPr>
              <w:spacing w:after="0"/>
              <w:rPr>
                <w:sz w:val="19"/>
                <w:szCs w:val="19"/>
                <w:color w:val="auto"/>
              </w:rPr>
            </w:pPr>
          </w:p>
        </w:tc>
        <w:tc>
          <w:tcPr>
            <w:tcW w:w="56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Customer two</w:t>
            </w:r>
          </w:p>
        </w:tc>
        <w:tc>
          <w:tcPr>
            <w:tcW w:w="1820" w:type="dxa"/>
            <w:vAlign w:val="bottom"/>
            <w:shd w:val="clear" w:color="auto" w:fill="E9E9E9"/>
          </w:tcPr>
          <w:p>
            <w:pPr>
              <w:jc w:val="right"/>
              <w:ind w:right="540"/>
              <w:spacing w:after="0"/>
              <w:rPr>
                <w:sz w:val="20"/>
                <w:szCs w:val="20"/>
                <w:color w:val="auto"/>
              </w:rPr>
            </w:pPr>
            <w:r>
              <w:rPr>
                <w:rFonts w:ascii="Times New Roman" w:cs="Times New Roman" w:eastAsia="Times New Roman" w:hAnsi="Times New Roman"/>
                <w:sz w:val="20"/>
                <w:szCs w:val="20"/>
                <w:color w:val="auto"/>
              </w:rPr>
              <w:t>14.5%</w:t>
            </w:r>
          </w:p>
        </w:tc>
      </w:tr>
      <w:tr>
        <w:trPr>
          <w:trHeight w:val="266"/>
        </w:trPr>
        <w:tc>
          <w:tcPr>
            <w:tcW w:w="94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Customer three</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12.9%</w:t>
            </w:r>
          </w:p>
        </w:tc>
      </w:tr>
      <w:tr>
        <w:trPr>
          <w:trHeight w:val="194"/>
        </w:trPr>
        <w:tc>
          <w:tcPr>
            <w:tcW w:w="9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0"/>
        </w:trPr>
        <w:tc>
          <w:tcPr>
            <w:tcW w:w="940" w:type="dxa"/>
            <w:vAlign w:val="bottom"/>
          </w:tcPr>
          <w:p>
            <w:pPr>
              <w:spacing w:after="0"/>
              <w:rPr>
                <w:sz w:val="19"/>
                <w:szCs w:val="19"/>
                <w:color w:val="auto"/>
              </w:rPr>
            </w:pPr>
          </w:p>
        </w:tc>
        <w:tc>
          <w:tcPr>
            <w:tcW w:w="56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b w:val="1"/>
                <w:bCs w:val="1"/>
                <w:color w:val="auto"/>
              </w:rPr>
              <w:t>Fiscal Year Ended December 30, 2022</w:t>
            </w:r>
          </w:p>
        </w:tc>
        <w:tc>
          <w:tcPr>
            <w:tcW w:w="1820" w:type="dxa"/>
            <w:vAlign w:val="bottom"/>
            <w:shd w:val="clear" w:color="auto" w:fill="E9E9E9"/>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Customer one</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12.1%</w:t>
            </w:r>
          </w:p>
        </w:tc>
      </w:tr>
      <w:tr>
        <w:trPr>
          <w:trHeight w:val="230"/>
        </w:trPr>
        <w:tc>
          <w:tcPr>
            <w:tcW w:w="940" w:type="dxa"/>
            <w:vAlign w:val="bottom"/>
          </w:tcPr>
          <w:p>
            <w:pPr>
              <w:spacing w:after="0"/>
              <w:rPr>
                <w:sz w:val="19"/>
                <w:szCs w:val="19"/>
                <w:color w:val="auto"/>
              </w:rPr>
            </w:pPr>
          </w:p>
        </w:tc>
        <w:tc>
          <w:tcPr>
            <w:tcW w:w="56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Customer two</w:t>
            </w:r>
          </w:p>
        </w:tc>
        <w:tc>
          <w:tcPr>
            <w:tcW w:w="1820" w:type="dxa"/>
            <w:vAlign w:val="bottom"/>
            <w:shd w:val="clear" w:color="auto" w:fill="E9E9E9"/>
          </w:tcPr>
          <w:p>
            <w:pPr>
              <w:jc w:val="right"/>
              <w:ind w:right="540"/>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9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Customer three</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auto"/>
              </w:rPr>
              <w:t>10.8%</w:t>
            </w:r>
          </w:p>
        </w:tc>
      </w:tr>
      <w:tr>
        <w:trPr>
          <w:trHeight w:val="230"/>
        </w:trPr>
        <w:tc>
          <w:tcPr>
            <w:tcW w:w="940" w:type="dxa"/>
            <w:vAlign w:val="bottom"/>
          </w:tcPr>
          <w:p>
            <w:pPr>
              <w:spacing w:after="0"/>
              <w:rPr>
                <w:sz w:val="19"/>
                <w:szCs w:val="19"/>
                <w:color w:val="auto"/>
              </w:rPr>
            </w:pPr>
          </w:p>
        </w:tc>
        <w:tc>
          <w:tcPr>
            <w:tcW w:w="56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Customer four</w:t>
            </w:r>
          </w:p>
        </w:tc>
        <w:tc>
          <w:tcPr>
            <w:tcW w:w="1820" w:type="dxa"/>
            <w:vAlign w:val="bottom"/>
            <w:shd w:val="clear" w:color="auto" w:fill="E9E9E9"/>
          </w:tcPr>
          <w:p>
            <w:pPr>
              <w:jc w:val="right"/>
              <w:ind w:right="540"/>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Revisions in Estimates</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Changes in contract estimates resulted in net decreases in gross margin of $10 million for the fiscal year ended December 29, 2023, primarily due to increased forecasted costs to complete and an agreed upon contract settlement lower than previously estimated, partially offset by increases in gross margin on an outstanding claim.</w:t>
      </w:r>
    </w:p>
    <w:p>
      <w:pPr>
        <w:spacing w:after="0" w:line="14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Company’s results of operations were materially impacted by an increase in the forecasted costs to complete on projects associated with a canal lock chamber, waterway canal and water desalination which reduced gross margin by a total of $18 million in fiscal year 2022. The increases in forecasted costs were primarily due to significantly reduced productivity and schedule delays as a result of the COVID -19 pandemic, unexpected underwater soil conditions, project design modifications and associated scheduling delays.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16" w:right="1440" w:bottom="175"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Note 4. Joint Ventures and Variable Interest Entities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financial information of the consolidated joint ventures is as follows:</w:t>
      </w: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0" w:type="dxa"/>
            <w:vAlign w:val="bottom"/>
          </w:tcPr>
          <w:p>
            <w:pPr>
              <w:spacing w:after="0"/>
              <w:rPr>
                <w:sz w:val="1"/>
                <w:szCs w:val="1"/>
                <w:color w:val="auto"/>
              </w:rPr>
            </w:pPr>
          </w:p>
        </w:tc>
      </w:tr>
      <w:tr>
        <w:trPr>
          <w:trHeight w:val="253"/>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80" w:type="dxa"/>
            <w:vAlign w:val="bottom"/>
            <w:gridSpan w:val="3"/>
            <w:shd w:val="clear" w:color="auto" w:fill="E9E9E9"/>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34,071</w:t>
            </w:r>
          </w:p>
        </w:tc>
        <w:tc>
          <w:tcPr>
            <w:tcW w:w="4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29,485</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18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8,971</w:t>
            </w:r>
          </w:p>
        </w:tc>
        <w:tc>
          <w:tcPr>
            <w:tcW w:w="260" w:type="dxa"/>
            <w:vAlign w:val="bottom"/>
            <w:tcBorders>
              <w:bottom w:val="single" w:sz="8" w:color="E9E9E9"/>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8,235</w:t>
            </w:r>
          </w:p>
        </w:tc>
        <w:tc>
          <w:tcPr>
            <w:tcW w:w="6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E9E9E9"/>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spacing w:after="0"/>
              <w:rPr>
                <w:sz w:val="19"/>
                <w:szCs w:val="19"/>
                <w:color w:val="auto"/>
              </w:rPr>
            </w:pPr>
          </w:p>
        </w:tc>
        <w:tc>
          <w:tcPr>
            <w:tcW w:w="15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43,042</w:t>
            </w:r>
          </w:p>
        </w:tc>
        <w:tc>
          <w:tcPr>
            <w:tcW w:w="26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spacing w:after="0"/>
              <w:rPr>
                <w:sz w:val="19"/>
                <w:szCs w:val="19"/>
                <w:color w:val="auto"/>
              </w:rPr>
            </w:pPr>
          </w:p>
        </w:tc>
        <w:tc>
          <w:tcPr>
            <w:tcW w:w="15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37,720</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59,602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22,603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1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spacing w:after="0"/>
              <w:rPr>
                <w:sz w:val="19"/>
                <w:szCs w:val="19"/>
                <w:color w:val="auto"/>
              </w:rPr>
            </w:pPr>
          </w:p>
        </w:tc>
        <w:tc>
          <w:tcPr>
            <w:tcW w:w="15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26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spacing w:after="0"/>
              <w:rPr>
                <w:sz w:val="19"/>
                <w:szCs w:val="19"/>
                <w:color w:val="auto"/>
              </w:rPr>
            </w:pPr>
          </w:p>
        </w:tc>
        <w:tc>
          <w:tcPr>
            <w:tcW w:w="15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56,595</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61,615</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79,198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20" w:type="dxa"/>
            <w:vAlign w:val="bottom"/>
            <w:gridSpan w:val="5"/>
          </w:tcPr>
          <w:p>
            <w:pPr>
              <w:ind w:left="8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0" w:type="dxa"/>
            <w:vAlign w:val="bottom"/>
          </w:tcPr>
          <w:p>
            <w:pPr>
              <w:spacing w:after="0"/>
              <w:rPr>
                <w:sz w:val="1"/>
                <w:szCs w:val="1"/>
                <w:color w:val="auto"/>
              </w:rPr>
            </w:pPr>
          </w:p>
        </w:tc>
      </w:tr>
      <w:tr>
        <w:trPr>
          <w:trHeight w:val="197"/>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80"/>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29,</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80"/>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Revenue</w:t>
            </w:r>
          </w:p>
        </w:tc>
        <w:tc>
          <w:tcPr>
            <w:tcW w:w="38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23,599</w:t>
            </w:r>
          </w:p>
        </w:tc>
        <w:tc>
          <w:tcPr>
            <w:tcW w:w="44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27,190</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The assets of the Company’s consolidated joint ventures are restricted for use only by the particular joint venture and are not available for the general operations of the Company.</w:t>
      </w:r>
    </w:p>
    <w:p>
      <w:pPr>
        <w:spacing w:after="0" w:line="1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A summary of financial information of the unconsolidated joint ventures, as derived from their financial statements, is as follows:</w:t>
      </w:r>
    </w:p>
    <w:p>
      <w:pPr>
        <w:spacing w:after="0" w:line="15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0" w:type="dxa"/>
            <w:vAlign w:val="bottom"/>
          </w:tcPr>
          <w:p>
            <w:pPr>
              <w:spacing w:after="0"/>
              <w:rPr>
                <w:sz w:val="1"/>
                <w:szCs w:val="1"/>
                <w:color w:val="auto"/>
              </w:rPr>
            </w:pPr>
          </w:p>
        </w:tc>
      </w:tr>
      <w:tr>
        <w:trPr>
          <w:trHeight w:val="253"/>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74,498</w:t>
            </w:r>
          </w:p>
        </w:tc>
        <w:tc>
          <w:tcPr>
            <w:tcW w:w="4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78,228</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180" w:type="dxa"/>
            <w:vAlign w:val="bottom"/>
            <w:tcBorders>
              <w:bottom w:val="single" w:sz="8" w:color="E9E9E9"/>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14,333</w:t>
            </w:r>
          </w:p>
        </w:tc>
        <w:tc>
          <w:tcPr>
            <w:tcW w:w="260" w:type="dxa"/>
            <w:vAlign w:val="bottom"/>
            <w:tcBorders>
              <w:bottom w:val="single" w:sz="8" w:color="E9E9E9"/>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25,026</w:t>
            </w:r>
          </w:p>
        </w:tc>
        <w:tc>
          <w:tcPr>
            <w:tcW w:w="6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E9E9E9"/>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shd w:val="clear" w:color="auto" w:fill="E9E9E9"/>
          </w:tcPr>
          <w:p>
            <w:pPr>
              <w:spacing w:after="0"/>
              <w:rPr>
                <w:sz w:val="19"/>
                <w:szCs w:val="19"/>
                <w:color w:val="auto"/>
              </w:rPr>
            </w:pPr>
          </w:p>
        </w:tc>
        <w:tc>
          <w:tcPr>
            <w:tcW w:w="200" w:type="dxa"/>
            <w:vAlign w:val="bottom"/>
            <w:tcBorders>
              <w:bottom w:val="single" w:sz="8" w:color="auto"/>
            </w:tcBorders>
            <w:shd w:val="clear" w:color="auto" w:fill="E9E9E9"/>
          </w:tcPr>
          <w:p>
            <w:pPr>
              <w:spacing w:after="0"/>
              <w:rPr>
                <w:sz w:val="19"/>
                <w:szCs w:val="19"/>
                <w:color w:val="auto"/>
              </w:rPr>
            </w:pPr>
          </w:p>
        </w:tc>
        <w:tc>
          <w:tcPr>
            <w:tcW w:w="15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88,831</w:t>
            </w:r>
          </w:p>
        </w:tc>
        <w:tc>
          <w:tcPr>
            <w:tcW w:w="26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spacing w:after="0"/>
              <w:rPr>
                <w:sz w:val="19"/>
                <w:szCs w:val="19"/>
                <w:color w:val="auto"/>
              </w:rPr>
            </w:pPr>
          </w:p>
        </w:tc>
        <w:tc>
          <w:tcPr>
            <w:tcW w:w="15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103,254</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580" w:type="dxa"/>
            <w:vAlign w:val="bottom"/>
            <w:tcBorders>
              <w:bottom w:val="single" w:sz="8" w:color="E9E9E9"/>
            </w:tcBorders>
            <w:vMerge w:val="continue"/>
          </w:tcPr>
          <w:p>
            <w:pPr>
              <w:spacing w:after="0"/>
              <w:rPr>
                <w:sz w:val="18"/>
                <w:szCs w:val="18"/>
                <w:color w:val="auto"/>
              </w:rPr>
            </w:pPr>
          </w:p>
        </w:tc>
        <w:tc>
          <w:tcPr>
            <w:tcW w:w="180" w:type="dxa"/>
            <w:vAlign w:val="bottom"/>
            <w:tcBorders>
              <w:bottom w:val="single" w:sz="8" w:color="E9E9E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42,817</w:t>
            </w:r>
          </w:p>
        </w:tc>
        <w:tc>
          <w:tcPr>
            <w:tcW w:w="260" w:type="dxa"/>
            <w:vAlign w:val="bottom"/>
            <w:tcBorders>
              <w:bottom w:val="single" w:sz="8" w:color="E9E9E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63,240</w:t>
            </w:r>
          </w:p>
        </w:tc>
        <w:tc>
          <w:tcPr>
            <w:tcW w:w="60" w:type="dxa"/>
            <w:vAlign w:val="bottom"/>
            <w:tcBorders>
              <w:bottom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E9E9E9"/>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shd w:val="clear" w:color="auto" w:fill="E9E9E9"/>
          </w:tcPr>
          <w:p>
            <w:pPr>
              <w:spacing w:after="0"/>
              <w:rPr>
                <w:sz w:val="19"/>
                <w:szCs w:val="19"/>
                <w:color w:val="auto"/>
              </w:rPr>
            </w:pPr>
          </w:p>
        </w:tc>
        <w:tc>
          <w:tcPr>
            <w:tcW w:w="2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42,817</w:t>
            </w:r>
          </w:p>
        </w:tc>
        <w:tc>
          <w:tcPr>
            <w:tcW w:w="26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63,240</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gridSpan w:val="5"/>
          </w:tcPr>
          <w:p>
            <w:pPr>
              <w:ind w:left="8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0" w:type="dxa"/>
            <w:vAlign w:val="bottom"/>
          </w:tcPr>
          <w:p>
            <w:pPr>
              <w:spacing w:after="0"/>
              <w:rPr>
                <w:sz w:val="1"/>
                <w:szCs w:val="1"/>
                <w:color w:val="auto"/>
              </w:rPr>
            </w:pPr>
          </w:p>
        </w:tc>
      </w:tr>
      <w:tr>
        <w:trPr>
          <w:trHeight w:val="197"/>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60"/>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160"/>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Revenue</w:t>
            </w:r>
          </w:p>
        </w:tc>
        <w:tc>
          <w:tcPr>
            <w:tcW w:w="380" w:type="dxa"/>
            <w:vAlign w:val="bottom"/>
            <w:gridSpan w:val="3"/>
            <w:shd w:val="clear" w:color="auto" w:fill="E9E9E9"/>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80,727</w:t>
            </w:r>
          </w:p>
        </w:tc>
        <w:tc>
          <w:tcPr>
            <w:tcW w:w="4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430,634</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18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64,793</w:t>
            </w:r>
          </w:p>
        </w:tc>
        <w:tc>
          <w:tcPr>
            <w:tcW w:w="260" w:type="dxa"/>
            <w:vAlign w:val="bottom"/>
            <w:tcBorders>
              <w:bottom w:val="single" w:sz="8" w:color="E9E9E9"/>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332,528</w:t>
            </w:r>
          </w:p>
        </w:tc>
        <w:tc>
          <w:tcPr>
            <w:tcW w:w="6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Gross margin</w:t>
            </w:r>
          </w:p>
        </w:tc>
        <w:tc>
          <w:tcPr>
            <w:tcW w:w="18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spacing w:after="0"/>
              <w:rPr>
                <w:sz w:val="19"/>
                <w:szCs w:val="19"/>
                <w:color w:val="auto"/>
              </w:rPr>
            </w:pPr>
          </w:p>
        </w:tc>
        <w:tc>
          <w:tcPr>
            <w:tcW w:w="15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15,934</w:t>
            </w:r>
          </w:p>
        </w:tc>
        <w:tc>
          <w:tcPr>
            <w:tcW w:w="26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spacing w:after="0"/>
              <w:rPr>
                <w:sz w:val="19"/>
                <w:szCs w:val="19"/>
                <w:color w:val="auto"/>
              </w:rPr>
            </w:pPr>
          </w:p>
        </w:tc>
        <w:tc>
          <w:tcPr>
            <w:tcW w:w="15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98,106</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5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15,934</w:t>
            </w:r>
          </w:p>
        </w:tc>
        <w:tc>
          <w:tcPr>
            <w:tcW w:w="2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98,106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Contractually required support provided to the Company’s joint ventures is discussed in Note 12 - Commitments and Contingencies.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16" w:right="1440" w:bottom="175"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i w:val="1"/>
          <w:iCs w:val="1"/>
          <w:color w:val="auto"/>
        </w:rPr>
        <w:t>Related Party Transactions</w:t>
      </w:r>
    </w:p>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80"/>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29,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right="80"/>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580" w:type="dxa"/>
            <w:vAlign w:val="bottom"/>
            <w:tcBorders>
              <w:bottom w:val="single" w:sz="8" w:color="E9E9E9"/>
            </w:tcBorders>
            <w:vMerge w:val="continue"/>
          </w:tcPr>
          <w:p>
            <w:pPr>
              <w:spacing w:after="0"/>
              <w:rPr>
                <w:sz w:val="19"/>
                <w:szCs w:val="19"/>
                <w:color w:val="auto"/>
              </w:rPr>
            </w:pPr>
          </w:p>
        </w:tc>
        <w:tc>
          <w:tcPr>
            <w:tcW w:w="180" w:type="dxa"/>
            <w:vAlign w:val="bottom"/>
            <w:tcBorders>
              <w:bottom w:val="single" w:sz="8" w:color="E9E9E9"/>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E9E9E9"/>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180" w:type="dxa"/>
            <w:vAlign w:val="bottom"/>
            <w:shd w:val="clear" w:color="auto" w:fill="E9E9E9"/>
          </w:tcPr>
          <w:p>
            <w:pPr>
              <w:spacing w:after="0"/>
              <w:rPr>
                <w:sz w:val="19"/>
                <w:szCs w:val="19"/>
                <w:color w:val="auto"/>
              </w:rPr>
            </w:pPr>
          </w:p>
        </w:tc>
        <w:tc>
          <w:tcPr>
            <w:tcW w:w="2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3,415</w:t>
            </w:r>
          </w:p>
        </w:tc>
        <w:tc>
          <w:tcPr>
            <w:tcW w:w="260" w:type="dxa"/>
            <w:vAlign w:val="bottom"/>
            <w:shd w:val="clear" w:color="auto" w:fill="E9E9E9"/>
          </w:tcPr>
          <w:p>
            <w:pPr>
              <w:spacing w:after="0"/>
              <w:rPr>
                <w:sz w:val="19"/>
                <w:szCs w:val="19"/>
                <w:color w:val="auto"/>
              </w:rPr>
            </w:pPr>
          </w:p>
        </w:tc>
        <w:tc>
          <w:tcPr>
            <w:tcW w:w="1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7,420</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Amounts included in the consolidated balance sheets related to services provided to unconsolidated joint ventures for the periods ended December 29, 2023 and December 30, 2022 are as follows:</w:t>
      </w:r>
    </w:p>
    <w:p>
      <w:pPr>
        <w:spacing w:after="0" w:line="15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 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580" w:type="dxa"/>
            <w:vAlign w:val="bottom"/>
            <w:tcBorders>
              <w:bottom w:val="single" w:sz="8" w:color="E6E6E6"/>
            </w:tcBorders>
            <w:vMerge w:val="continue"/>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Accounts receivable, net</w:t>
            </w:r>
          </w:p>
        </w:tc>
        <w:tc>
          <w:tcPr>
            <w:tcW w:w="180" w:type="dxa"/>
            <w:vAlign w:val="bottom"/>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2,092</w:t>
            </w:r>
          </w:p>
        </w:tc>
        <w:tc>
          <w:tcPr>
            <w:tcW w:w="260" w:type="dxa"/>
            <w:vAlign w:val="bottom"/>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5,045</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Property, Plant and Equipment and Intangible Assets</w:t>
      </w:r>
    </w:p>
    <w:p>
      <w:pPr>
        <w:spacing w:after="0" w:line="204"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components of property, plant and equipment as of December 29, 2023 and December 30, 2022.</w:t>
      </w:r>
    </w:p>
    <w:p>
      <w:pPr>
        <w:spacing w:after="0" w:line="15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0" w:type="dxa"/>
            <w:vAlign w:val="bottom"/>
          </w:tcPr>
          <w:p>
            <w:pPr>
              <w:spacing w:after="0"/>
              <w:rPr>
                <w:sz w:val="1"/>
                <w:szCs w:val="1"/>
                <w:color w:val="auto"/>
              </w:rPr>
            </w:pPr>
          </w:p>
        </w:tc>
      </w:tr>
      <w:tr>
        <w:trPr>
          <w:trHeight w:val="253"/>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20"/>
        </w:trPr>
        <w:tc>
          <w:tcPr>
            <w:tcW w:w="4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Building and land</w:t>
            </w:r>
          </w:p>
        </w:tc>
        <w:tc>
          <w:tcPr>
            <w:tcW w:w="380" w:type="dxa"/>
            <w:vAlign w:val="bottom"/>
            <w:gridSpan w:val="3"/>
            <w:shd w:val="clear" w:color="auto" w:fill="E9E9E9"/>
          </w:tcPr>
          <w:p>
            <w:pPr>
              <w:jc w:val="right"/>
              <w:ind w:right="68"/>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4,002</w:t>
            </w:r>
          </w:p>
        </w:tc>
        <w:tc>
          <w:tcPr>
            <w:tcW w:w="40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3,887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Machinery, equipment, and vehicles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67,698</w:t>
            </w:r>
          </w:p>
        </w:tc>
        <w:tc>
          <w:tcPr>
            <w:tcW w:w="0" w:type="dxa"/>
            <w:vAlign w:val="bottom"/>
          </w:tcPr>
          <w:p>
            <w:pPr>
              <w:spacing w:after="0"/>
              <w:rPr>
                <w:sz w:val="1"/>
                <w:szCs w:val="1"/>
                <w:color w:val="auto"/>
              </w:rPr>
            </w:pPr>
          </w:p>
        </w:tc>
      </w:tr>
      <w:tr>
        <w:trPr>
          <w:trHeight w:val="230"/>
        </w:trPr>
        <w:tc>
          <w:tcPr>
            <w:tcW w:w="45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9,324</w:t>
            </w:r>
          </w:p>
        </w:tc>
        <w:tc>
          <w:tcPr>
            <w:tcW w:w="12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7,891</w:t>
            </w:r>
          </w:p>
        </w:tc>
        <w:tc>
          <w:tcPr>
            <w:tcW w:w="0" w:type="dxa"/>
            <w:vAlign w:val="bottom"/>
          </w:tcPr>
          <w:p>
            <w:pPr>
              <w:spacing w:after="0"/>
              <w:rPr>
                <w:sz w:val="1"/>
                <w:szCs w:val="1"/>
                <w:color w:val="auto"/>
              </w:rPr>
            </w:pPr>
          </w:p>
        </w:tc>
      </w:tr>
      <w:tr>
        <w:trPr>
          <w:trHeight w:val="220"/>
        </w:trPr>
        <w:tc>
          <w:tcPr>
            <w:tcW w:w="4560" w:type="dxa"/>
            <w:vAlign w:val="bottom"/>
          </w:tcPr>
          <w:p>
            <w:pPr>
              <w:ind w:left="300"/>
              <w:spacing w:after="0" w:line="220" w:lineRule="exact"/>
              <w:rPr>
                <w:sz w:val="20"/>
                <w:szCs w:val="20"/>
                <w:color w:val="auto"/>
              </w:rPr>
            </w:pPr>
            <w:r>
              <w:rPr>
                <w:rFonts w:ascii="Times New Roman" w:cs="Times New Roman" w:eastAsia="Times New Roman" w:hAnsi="Times New Roman"/>
                <w:sz w:val="20"/>
                <w:szCs w:val="20"/>
                <w:color w:val="auto"/>
              </w:rPr>
              <w:t>Property, plant and equipment, gross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83,576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79,476</w:t>
            </w:r>
          </w:p>
        </w:tc>
        <w:tc>
          <w:tcPr>
            <w:tcW w:w="0" w:type="dxa"/>
            <w:vAlign w:val="bottom"/>
          </w:tcPr>
          <w:p>
            <w:pPr>
              <w:spacing w:after="0"/>
              <w:rPr>
                <w:sz w:val="1"/>
                <w:szCs w:val="1"/>
                <w:color w:val="auto"/>
              </w:rPr>
            </w:pPr>
          </w:p>
        </w:tc>
      </w:tr>
      <w:tr>
        <w:trPr>
          <w:trHeight w:val="230"/>
        </w:trPr>
        <w:tc>
          <w:tcPr>
            <w:tcW w:w="45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(37,203)</w:t>
            </w:r>
          </w:p>
        </w:tc>
        <w:tc>
          <w:tcPr>
            <w:tcW w:w="12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(24,268)</w:t>
            </w:r>
          </w:p>
        </w:tc>
        <w:tc>
          <w:tcPr>
            <w:tcW w:w="0" w:type="dxa"/>
            <w:vAlign w:val="bottom"/>
          </w:tcPr>
          <w:p>
            <w:pPr>
              <w:spacing w:after="0"/>
              <w:rPr>
                <w:sz w:val="1"/>
                <w:szCs w:val="1"/>
                <w:color w:val="auto"/>
              </w:rPr>
            </w:pPr>
          </w:p>
        </w:tc>
      </w:tr>
      <w:tr>
        <w:trPr>
          <w:trHeight w:val="220"/>
        </w:trPr>
        <w:tc>
          <w:tcPr>
            <w:tcW w:w="4560" w:type="dxa"/>
            <w:vAlign w:val="bottom"/>
          </w:tcPr>
          <w:p>
            <w:pPr>
              <w:ind w:left="600"/>
              <w:spacing w:after="0" w:line="220"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46,373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55,208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29,</w:t>
            </w:r>
          </w:p>
        </w:tc>
        <w:tc>
          <w:tcPr>
            <w:tcW w:w="180" w:type="dxa"/>
            <w:vAlign w:val="bottom"/>
          </w:tcPr>
          <w:p>
            <w:pPr>
              <w:spacing w:after="0"/>
              <w:rPr>
                <w:sz w:val="17"/>
                <w:szCs w:val="17"/>
                <w:color w:val="auto"/>
              </w:rPr>
            </w:pPr>
          </w:p>
        </w:tc>
        <w:tc>
          <w:tcPr>
            <w:tcW w:w="128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E9E9E9"/>
            </w:tcBorders>
            <w:vMerge w:val="continue"/>
          </w:tcPr>
          <w:p>
            <w:pPr>
              <w:spacing w:after="0"/>
              <w:rPr>
                <w:sz w:val="19"/>
                <w:szCs w:val="19"/>
                <w:color w:val="auto"/>
              </w:rPr>
            </w:pPr>
          </w:p>
        </w:tc>
        <w:tc>
          <w:tcPr>
            <w:tcW w:w="12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6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Depreciation expense</w:t>
            </w:r>
          </w:p>
        </w:tc>
        <w:tc>
          <w:tcPr>
            <w:tcW w:w="12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14,338</w:t>
            </w:r>
          </w:p>
        </w:tc>
        <w:tc>
          <w:tcPr>
            <w:tcW w:w="18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13,047</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spacing w:after="0" w:line="17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Company’s finite-lived intangible assets, including the weighted- average useful lives for each major intangible asset category and in total:</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22" w:right="1440" w:bottom="175" w:gutter="0" w:footer="0" w:header="0"/>
          <w:type w:val="continuous"/>
        </w:sectPr>
      </w:pPr>
    </w:p>
    <w:bookmarkStart w:id="83" w:name="page84"/>
    <w:bookmarkEnd w:id="83"/>
    <w:p>
      <w:pPr>
        <w:ind w:left="4540"/>
        <w:spacing w:after="0"/>
        <w:rPr>
          <w:sz w:val="20"/>
          <w:szCs w:val="20"/>
          <w:color w:val="auto"/>
        </w:rPr>
      </w:pPr>
      <w:r>
        <w:rPr>
          <w:rFonts w:ascii="Times New Roman" w:cs="Times New Roman" w:eastAsia="Times New Roman" w:hAnsi="Times New Roman"/>
          <w:sz w:val="20"/>
          <w:szCs w:val="20"/>
          <w:b w:val="1"/>
          <w:bCs w:val="1"/>
          <w:color w:val="auto"/>
        </w:rPr>
        <w:t>December 29, 2023</w:t>
      </w:r>
    </w:p>
    <w:p>
      <w:pPr>
        <w:spacing w:after="0" w:line="23"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1400" w:type="dxa"/>
            <w:vAlign w:val="bottom"/>
          </w:tcPr>
          <w:p>
            <w:pPr>
              <w:spacing w:after="0"/>
              <w:rPr>
                <w:sz w:val="17"/>
                <w:szCs w:val="17"/>
                <w:color w:val="auto"/>
              </w:rPr>
            </w:pPr>
          </w:p>
        </w:tc>
        <w:tc>
          <w:tcPr>
            <w:tcW w:w="1200" w:type="dxa"/>
            <w:vAlign w:val="bottom"/>
            <w:tcBorders>
              <w:top w:val="single" w:sz="8" w:color="auto"/>
            </w:tcBorders>
          </w:tcPr>
          <w:p>
            <w:pPr>
              <w:jc w:val="center"/>
              <w:ind w:left="40"/>
              <w:spacing w:after="0" w:line="197"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Intangible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Intangible</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Useful Life</w:t>
            </w:r>
          </w:p>
        </w:tc>
        <w:tc>
          <w:tcPr>
            <w:tcW w:w="2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Assets, Gross</w:t>
            </w: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7"/>
              </w:rPr>
              <w:t>Amortization</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Assets, Net</w:t>
            </w:r>
          </w:p>
        </w:tc>
        <w:tc>
          <w:tcPr>
            <w:tcW w:w="0" w:type="dxa"/>
            <w:vAlign w:val="bottom"/>
          </w:tcPr>
          <w:p>
            <w:pPr>
              <w:spacing w:after="0"/>
              <w:rPr>
                <w:sz w:val="1"/>
                <w:szCs w:val="1"/>
                <w:color w:val="auto"/>
              </w:rPr>
            </w:pPr>
          </w:p>
        </w:tc>
      </w:tr>
      <w:tr>
        <w:trPr>
          <w:trHeight w:val="220"/>
        </w:trPr>
        <w:tc>
          <w:tcPr>
            <w:tcW w:w="14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Trademark</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10,600</w:t>
            </w:r>
          </w:p>
        </w:tc>
        <w:tc>
          <w:tcPr>
            <w:tcW w:w="240" w:type="dxa"/>
            <w:vAlign w:val="bottom"/>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(4,543)</w:t>
            </w:r>
          </w:p>
        </w:tc>
        <w:tc>
          <w:tcPr>
            <w:tcW w:w="3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6,057</w:t>
            </w:r>
          </w:p>
        </w:tc>
        <w:tc>
          <w:tcPr>
            <w:tcW w:w="0" w:type="dxa"/>
            <w:vAlign w:val="bottom"/>
          </w:tcPr>
          <w:p>
            <w:pPr>
              <w:spacing w:after="0"/>
              <w:rPr>
                <w:sz w:val="1"/>
                <w:szCs w:val="1"/>
                <w:color w:val="auto"/>
              </w:rPr>
            </w:pPr>
          </w:p>
        </w:tc>
      </w:tr>
      <w:tr>
        <w:trPr>
          <w:trHeight w:val="211"/>
        </w:trPr>
        <w:tc>
          <w:tcPr>
            <w:tcW w:w="260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Customer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00" w:type="dxa"/>
            <w:vAlign w:val="bottom"/>
            <w:tcBorders>
              <w:bottom w:val="single" w:sz="8" w:color="E9E9E9"/>
            </w:tcBorders>
            <w:gridSpan w:val="2"/>
          </w:tcPr>
          <w:p>
            <w:pPr>
              <w:spacing w:after="0"/>
              <w:rPr>
                <w:sz w:val="20"/>
                <w:szCs w:val="20"/>
                <w:color w:val="auto"/>
              </w:rPr>
            </w:pPr>
            <w:r>
              <w:rPr>
                <w:rFonts w:ascii="Times New Roman" w:cs="Times New Roman" w:eastAsia="Times New Roman" w:hAnsi="Times New Roman"/>
                <w:sz w:val="20"/>
                <w:szCs w:val="20"/>
                <w:color w:val="auto"/>
              </w:rPr>
              <w:t>contracts</w:t>
            </w:r>
          </w:p>
        </w:tc>
        <w:tc>
          <w:tcPr>
            <w:tcW w:w="220" w:type="dxa"/>
            <w:vAlign w:val="bottom"/>
            <w:tcBorders>
              <w:bottom w:val="single" w:sz="8" w:color="E9E9E9"/>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6,527</w:t>
            </w:r>
          </w:p>
        </w:tc>
        <w:tc>
          <w:tcPr>
            <w:tcW w:w="140" w:type="dxa"/>
            <w:vAlign w:val="bottom"/>
            <w:tcBorders>
              <w:bottom w:val="single" w:sz="8" w:color="E9E9E9"/>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(3,340)</w:t>
            </w:r>
          </w:p>
        </w:tc>
        <w:tc>
          <w:tcPr>
            <w:tcW w:w="140" w:type="dxa"/>
            <w:vAlign w:val="bottom"/>
            <w:tcBorders>
              <w:bottom w:val="single" w:sz="8" w:color="E9E9E9"/>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3,187</w:t>
            </w: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17,127</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(7,883)</w:t>
            </w:r>
          </w:p>
        </w:tc>
        <w:tc>
          <w:tcPr>
            <w:tcW w:w="140" w:type="dxa"/>
            <w:vAlign w:val="bottom"/>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9,244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14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December 30, 2022</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1200" w:type="dxa"/>
            <w:vAlign w:val="bottom"/>
          </w:tcPr>
          <w:p>
            <w:pPr>
              <w:jc w:val="center"/>
              <w:ind w:left="40"/>
              <w:spacing w:after="0" w:line="197"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120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Intangible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Intangible</w:t>
            </w:r>
          </w:p>
        </w:tc>
        <w:tc>
          <w:tcPr>
            <w:tcW w:w="0" w:type="dxa"/>
            <w:vAlign w:val="bottom"/>
          </w:tcPr>
          <w:p>
            <w:pPr>
              <w:spacing w:after="0"/>
              <w:rPr>
                <w:sz w:val="1"/>
                <w:szCs w:val="1"/>
                <w:color w:val="auto"/>
              </w:rPr>
            </w:pPr>
          </w:p>
        </w:tc>
      </w:tr>
      <w:tr>
        <w:trPr>
          <w:trHeight w:val="253"/>
        </w:trPr>
        <w:tc>
          <w:tcPr>
            <w:tcW w:w="1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Useful Life</w:t>
            </w:r>
          </w:p>
        </w:tc>
        <w:tc>
          <w:tcPr>
            <w:tcW w:w="2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Assets, Gross</w:t>
            </w: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7"/>
              </w:rPr>
              <w:t>Amortization</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Assets, Net</w:t>
            </w:r>
          </w:p>
        </w:tc>
        <w:tc>
          <w:tcPr>
            <w:tcW w:w="0" w:type="dxa"/>
            <w:vAlign w:val="bottom"/>
          </w:tcPr>
          <w:p>
            <w:pPr>
              <w:spacing w:after="0"/>
              <w:rPr>
                <w:sz w:val="1"/>
                <w:szCs w:val="1"/>
                <w:color w:val="auto"/>
              </w:rPr>
            </w:pPr>
          </w:p>
        </w:tc>
      </w:tr>
      <w:tr>
        <w:trPr>
          <w:trHeight w:val="220"/>
        </w:trPr>
        <w:tc>
          <w:tcPr>
            <w:tcW w:w="14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Trademark</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0" w:type="dxa"/>
            <w:vAlign w:val="bottom"/>
            <w:shd w:val="clear" w:color="auto" w:fill="E9E9E9"/>
          </w:tcPr>
          <w:p>
            <w:pPr>
              <w:spacing w:after="0"/>
              <w:rPr>
                <w:sz w:val="19"/>
                <w:szCs w:val="19"/>
                <w:color w:val="auto"/>
              </w:rPr>
            </w:pPr>
          </w:p>
        </w:tc>
        <w:tc>
          <w:tcPr>
            <w:tcW w:w="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10,600</w:t>
            </w:r>
          </w:p>
        </w:tc>
        <w:tc>
          <w:tcPr>
            <w:tcW w:w="240" w:type="dxa"/>
            <w:vAlign w:val="bottom"/>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(3,029)</w:t>
            </w:r>
          </w:p>
        </w:tc>
        <w:tc>
          <w:tcPr>
            <w:tcW w:w="3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7,571</w:t>
            </w:r>
          </w:p>
        </w:tc>
        <w:tc>
          <w:tcPr>
            <w:tcW w:w="0" w:type="dxa"/>
            <w:vAlign w:val="bottom"/>
          </w:tcPr>
          <w:p>
            <w:pPr>
              <w:spacing w:after="0"/>
              <w:rPr>
                <w:sz w:val="1"/>
                <w:szCs w:val="1"/>
                <w:color w:val="auto"/>
              </w:rPr>
            </w:pPr>
          </w:p>
        </w:tc>
      </w:tr>
      <w:tr>
        <w:trPr>
          <w:trHeight w:val="210"/>
        </w:trPr>
        <w:tc>
          <w:tcPr>
            <w:tcW w:w="260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Customer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00" w:type="dxa"/>
            <w:vAlign w:val="bottom"/>
            <w:tcBorders>
              <w:bottom w:val="single" w:sz="8" w:color="E9E9E9"/>
            </w:tcBorders>
            <w:gridSpan w:val="2"/>
          </w:tcPr>
          <w:p>
            <w:pPr>
              <w:spacing w:after="0"/>
              <w:rPr>
                <w:sz w:val="20"/>
                <w:szCs w:val="20"/>
                <w:color w:val="auto"/>
              </w:rPr>
            </w:pPr>
            <w:r>
              <w:rPr>
                <w:rFonts w:ascii="Times New Roman" w:cs="Times New Roman" w:eastAsia="Times New Roman" w:hAnsi="Times New Roman"/>
                <w:sz w:val="20"/>
                <w:szCs w:val="20"/>
                <w:color w:val="auto"/>
              </w:rPr>
              <w:t>contracts</w:t>
            </w:r>
          </w:p>
        </w:tc>
        <w:tc>
          <w:tcPr>
            <w:tcW w:w="220" w:type="dxa"/>
            <w:vAlign w:val="bottom"/>
            <w:tcBorders>
              <w:bottom w:val="single" w:sz="8" w:color="E9E9E9"/>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4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6,709</w:t>
            </w:r>
          </w:p>
        </w:tc>
        <w:tc>
          <w:tcPr>
            <w:tcW w:w="140" w:type="dxa"/>
            <w:vAlign w:val="bottom"/>
            <w:tcBorders>
              <w:bottom w:val="single" w:sz="8" w:color="E9E9E9"/>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w:t>
            </w:r>
          </w:p>
        </w:tc>
        <w:tc>
          <w:tcPr>
            <w:tcW w:w="140" w:type="dxa"/>
            <w:vAlign w:val="bottom"/>
            <w:tcBorders>
              <w:bottom w:val="single" w:sz="8" w:color="E9E9E9"/>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4,473</w:t>
            </w: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17,309</w:t>
            </w:r>
          </w:p>
        </w:tc>
        <w:tc>
          <w:tcPr>
            <w:tcW w:w="160" w:type="dxa"/>
            <w:vAlign w:val="bottom"/>
            <w:gridSpan w:val="2"/>
            <w:shd w:val="clear" w:color="auto" w:fill="E9E9E9"/>
          </w:tcPr>
          <w:p>
            <w:pPr>
              <w:spacing w:after="0"/>
              <w:rPr>
                <w:sz w:val="19"/>
                <w:szCs w:val="19"/>
                <w:color w:val="auto"/>
              </w:rPr>
            </w:pPr>
          </w:p>
        </w:tc>
        <w:tc>
          <w:tcPr>
            <w:tcW w:w="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(5,265)</w:t>
            </w:r>
          </w:p>
        </w:tc>
        <w:tc>
          <w:tcPr>
            <w:tcW w:w="140" w:type="dxa"/>
            <w:vAlign w:val="bottom"/>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12,044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Amortization of intangibles was $3 million for each of the fiscal years ended December 29, 2023 and December 30, 2022 and is recorded as amortization of intangibles within the consolidated statements of operations. The Company’s estimated aggregate remaining amortization is as follows:</w:t>
      </w:r>
    </w:p>
    <w:p>
      <w:pPr>
        <w:spacing w:after="0" w:line="17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0" w:type="dxa"/>
            <w:vAlign w:val="bottom"/>
          </w:tcPr>
          <w:p>
            <w:pPr>
              <w:spacing w:after="0"/>
              <w:rPr>
                <w:sz w:val="1"/>
                <w:szCs w:val="1"/>
                <w:color w:val="auto"/>
              </w:rPr>
            </w:pPr>
          </w:p>
        </w:tc>
      </w:tr>
      <w:tr>
        <w:trPr>
          <w:trHeight w:val="253"/>
        </w:trPr>
        <w:tc>
          <w:tcPr>
            <w:tcW w:w="2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Expense</w:t>
            </w:r>
          </w:p>
        </w:tc>
        <w:tc>
          <w:tcPr>
            <w:tcW w:w="0" w:type="dxa"/>
            <w:vAlign w:val="bottom"/>
          </w:tcPr>
          <w:p>
            <w:pPr>
              <w:spacing w:after="0"/>
              <w:rPr>
                <w:sz w:val="1"/>
                <w:szCs w:val="1"/>
                <w:color w:val="auto"/>
              </w:rPr>
            </w:pPr>
          </w:p>
        </w:tc>
      </w:tr>
      <w:tr>
        <w:trPr>
          <w:trHeight w:val="220"/>
        </w:trPr>
        <w:tc>
          <w:tcPr>
            <w:tcW w:w="2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2024</w:t>
            </w:r>
          </w:p>
        </w:tc>
        <w:tc>
          <w:tcPr>
            <w:tcW w:w="580" w:type="dxa"/>
            <w:vAlign w:val="bottom"/>
            <w:gridSpan w:val="2"/>
            <w:shd w:val="clear" w:color="auto" w:fill="E9E9E9"/>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2,577</w:t>
            </w:r>
          </w:p>
        </w:tc>
        <w:tc>
          <w:tcPr>
            <w:tcW w:w="2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2026</w:t>
            </w:r>
          </w:p>
        </w:tc>
        <w:tc>
          <w:tcPr>
            <w:tcW w:w="240" w:type="dxa"/>
            <w:vAlign w:val="bottom"/>
            <w:shd w:val="clear" w:color="auto" w:fill="E9E9E9"/>
          </w:tcPr>
          <w:p>
            <w:pPr>
              <w:spacing w:after="0"/>
              <w:rPr>
                <w:sz w:val="19"/>
                <w:szCs w:val="19"/>
                <w:color w:val="auto"/>
              </w:rPr>
            </w:pPr>
          </w:p>
        </w:tc>
        <w:tc>
          <w:tcPr>
            <w:tcW w:w="340" w:type="dxa"/>
            <w:vAlign w:val="bottom"/>
            <w:shd w:val="clear" w:color="auto" w:fill="E9E9E9"/>
          </w:tcPr>
          <w:p>
            <w:pPr>
              <w:spacing w:after="0"/>
              <w:rPr>
                <w:sz w:val="19"/>
                <w:szCs w:val="19"/>
                <w:color w:val="auto"/>
              </w:rPr>
            </w:pPr>
          </w:p>
        </w:tc>
        <w:tc>
          <w:tcPr>
            <w:tcW w:w="2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2,577</w:t>
            </w:r>
          </w:p>
        </w:tc>
        <w:tc>
          <w:tcPr>
            <w:tcW w:w="2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color w:val="auto"/>
              </w:rPr>
              <w:t>2027</w:t>
            </w:r>
          </w:p>
        </w:tc>
        <w:tc>
          <w:tcPr>
            <w:tcW w:w="240" w:type="dxa"/>
            <w:vAlign w:val="bottom"/>
            <w:tcBorders>
              <w:bottom w:val="single" w:sz="8" w:color="E9E9E9"/>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2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6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40" w:type="dxa"/>
            <w:vAlign w:val="bottom"/>
            <w:shd w:val="clear" w:color="auto" w:fill="E9E9E9"/>
          </w:tcPr>
          <w:p>
            <w:pPr>
              <w:spacing w:after="0"/>
              <w:rPr>
                <w:sz w:val="19"/>
                <w:szCs w:val="19"/>
                <w:color w:val="auto"/>
              </w:rPr>
            </w:pPr>
          </w:p>
        </w:tc>
        <w:tc>
          <w:tcPr>
            <w:tcW w:w="340" w:type="dxa"/>
            <w:vAlign w:val="bottom"/>
            <w:tcBorders>
              <w:bottom w:val="single" w:sz="8" w:color="auto"/>
            </w:tcBorders>
            <w:shd w:val="clear" w:color="auto" w:fill="E9E9E9"/>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9,244</w:t>
            </w:r>
          </w:p>
        </w:tc>
        <w:tc>
          <w:tcPr>
            <w:tcW w:w="2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Significant Transaction</w:t>
      </w:r>
    </w:p>
    <w:p>
      <w:pPr>
        <w:spacing w:after="0" w:line="198"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auto"/>
        </w:rPr>
        <w:t>The Company executed a $35 million Membership Interest Purchase Agreement on June 30, 2023 for the sale of non-core business contracts. A gain on the sale of non-core business contracts of $30 million was recorded within gain on sale of assets after consummation of the transaction during the third quarter of 2023 after a $ 5 million adjustment to the purchase price. The company received $30 million in cash during the third quarter of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debt outstanding is presented on the consolidated balance sheets as follows:</w:t>
      </w:r>
    </w:p>
    <w:p>
      <w:pPr>
        <w:spacing w:after="0" w:line="226"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14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30,</w:t>
            </w:r>
          </w:p>
        </w:tc>
      </w:tr>
      <w:tr>
        <w:trPr>
          <w:trHeight w:val="253"/>
        </w:trPr>
        <w:tc>
          <w:tcPr>
            <w:tcW w:w="378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20"/>
        </w:trPr>
        <w:tc>
          <w:tcPr>
            <w:tcW w:w="378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Revolving Credit Facility</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29,914</w:t>
            </w:r>
          </w:p>
        </w:tc>
        <w:tc>
          <w:tcPr>
            <w:tcW w:w="14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E9E9E9"/>
          </w:tcPr>
          <w:p>
            <w:pPr>
              <w:ind w:left="74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37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debt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29,914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ind w:left="74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378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Unamortized debt issuance costs</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4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00" w:type="dxa"/>
            <w:vAlign w:val="bottom"/>
            <w:tcBorders>
              <w:bottom w:val="single" w:sz="8" w:color="auto"/>
            </w:tcBorders>
            <w:shd w:val="clear" w:color="auto" w:fill="E9E9E9"/>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37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Long-term debt, 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29,627</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ind w:left="74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16" w:right="1440" w:bottom="175"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19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On March 27, 2023, we entered into a Revolving Credit Facility Agreement (“Revolving Credit Facility”) with MidCap Financial Services, LLC, which originally provided a total commitment of $30 million. The Revolving Credit Facility was subsequently amended on June 30, 2023 and September 22, 2023. As amended, the Revolving Credit Facility provides for a total commitment of $ 35 million and bears interest at an annual rate of adjusted term SOFR, subject to a 1.0% floor, plus 4.50%. Further, the Revolving Credit Facility is subject to an annual collateral management fee of 0.50% and an annual unused line fee of 0.50%. The Revolving Credit Facility Agreement matures on March 27, 2028 and requires the Company to maintain a leverage ratio that does not exceed 1.75 to 1.0. The Company is not aware of any instances of noncompliance with financial covenants as of December 29, 2023.</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Following the IPO, we used the net proceeds we received from our IPO, together with cash on hand, to repay all outstanding borrowing under our Revolving Credit Facility. Subsequent to the repayment, we drew $30 million on our Revolving Credit Facility to fund working capital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Project Financing Agreement</w:t>
      </w:r>
    </w:p>
    <w:p>
      <w:pPr>
        <w:spacing w:after="0" w:line="19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On March 26, 2024, we entered into a Project Financing Agreement with Berkshire Hathaway Specialty Insurance Company, National Liability &amp; Fire Insurance Company and National Indemnity Company (collectively "Berkshire") which provides an advance of up to $25 million in exchange for security interest in the assigned and secured collateral specified in the Project Financing Agreement. If drawn, the advance will be used to satisfy bond and bonded contract obligations and bears interest at an annual rate of adjusted term SOFR, subject to a 1.0% floor, plus 4.50%. All funds provided by Berkshire under the Project Financing Agreement as well as all accrued interest are due and payable in full on March 28, 2028.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7. Income Taxes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6"/>
        </w:trPr>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components of the provision for income taxes are as follows: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9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top w:val="single" w:sz="8" w:color="auto"/>
            </w:tcBorders>
            <w:gridSpan w:val="2"/>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29,</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0"/>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40" w:type="dxa"/>
            <w:vAlign w:val="bottom"/>
          </w:tcPr>
          <w:p>
            <w:pPr>
              <w:spacing w:after="0"/>
              <w:rPr>
                <w:sz w:val="22"/>
                <w:szCs w:val="22"/>
                <w:color w:val="auto"/>
              </w:rPr>
            </w:pPr>
          </w:p>
        </w:tc>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7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Current taxes:</w:t>
            </w:r>
          </w:p>
        </w:tc>
        <w:tc>
          <w:tcPr>
            <w:tcW w:w="1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9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94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7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4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0" w:type="dxa"/>
            <w:vAlign w:val="bottom"/>
          </w:tcPr>
          <w:p>
            <w:pPr>
              <w:spacing w:after="0"/>
              <w:rPr>
                <w:sz w:val="19"/>
                <w:szCs w:val="19"/>
                <w:color w:val="auto"/>
              </w:rPr>
            </w:pPr>
          </w:p>
        </w:tc>
        <w:tc>
          <w:tcPr>
            <w:tcW w:w="4700" w:type="dxa"/>
            <w:vAlign w:val="bottom"/>
            <w:tcBorders>
              <w:bottom w:val="single" w:sz="8" w:color="E9E9E9"/>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current taxes</w:t>
            </w:r>
          </w:p>
        </w:tc>
        <w:tc>
          <w:tcPr>
            <w:tcW w:w="140" w:type="dxa"/>
            <w:vAlign w:val="bottom"/>
            <w:tcBorders>
              <w:bottom w:val="single" w:sz="8" w:color="E9E9E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1,274</w:t>
            </w:r>
          </w:p>
        </w:tc>
        <w:tc>
          <w:tcPr>
            <w:tcW w:w="6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0" w:type="dxa"/>
            <w:vAlign w:val="bottom"/>
          </w:tcPr>
          <w:p>
            <w:pPr>
              <w:spacing w:after="0"/>
              <w:rPr>
                <w:sz w:val="19"/>
                <w:szCs w:val="19"/>
                <w:color w:val="auto"/>
              </w:rPr>
            </w:pPr>
          </w:p>
        </w:tc>
        <w:tc>
          <w:tcPr>
            <w:tcW w:w="47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Deferred taxes:</w:t>
            </w:r>
          </w:p>
        </w:tc>
        <w:tc>
          <w:tcPr>
            <w:tcW w:w="1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940" w:type="dxa"/>
            <w:vAlign w:val="bottom"/>
            <w:shd w:val="clear" w:color="auto" w:fill="E9E9E9"/>
          </w:tcPr>
          <w:p>
            <w:pPr>
              <w:spacing w:after="0"/>
              <w:rPr>
                <w:sz w:val="19"/>
                <w:szCs w:val="19"/>
                <w:color w:val="auto"/>
              </w:rPr>
            </w:pPr>
          </w:p>
        </w:tc>
        <w:tc>
          <w:tcPr>
            <w:tcW w:w="2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94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7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14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00" w:type="dxa"/>
            <w:vAlign w:val="bottom"/>
            <w:gridSpan w:val="2"/>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940" w:type="dxa"/>
            <w:vAlign w:val="bottom"/>
          </w:tcPr>
          <w:p>
            <w:pPr>
              <w:spacing w:after="0"/>
              <w:rPr>
                <w:sz w:val="19"/>
                <w:szCs w:val="19"/>
                <w:color w:val="auto"/>
              </w:rPr>
            </w:pPr>
          </w:p>
        </w:tc>
        <w:tc>
          <w:tcPr>
            <w:tcW w:w="4700" w:type="dxa"/>
            <w:vAlign w:val="bottom"/>
            <w:tcBorders>
              <w:bottom w:val="single" w:sz="8" w:color="E9E9E9"/>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deferred taxes</w:t>
            </w:r>
          </w:p>
        </w:tc>
        <w:tc>
          <w:tcPr>
            <w:tcW w:w="140" w:type="dxa"/>
            <w:vAlign w:val="bottom"/>
            <w:tcBorders>
              <w:bottom w:val="single" w:sz="8" w:color="E9E9E9"/>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9E9E9"/>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0" w:type="dxa"/>
            <w:vAlign w:val="bottom"/>
          </w:tcPr>
          <w:p>
            <w:pPr>
              <w:spacing w:after="0"/>
              <w:rPr>
                <w:sz w:val="19"/>
                <w:szCs w:val="19"/>
                <w:color w:val="auto"/>
              </w:rPr>
            </w:pPr>
          </w:p>
        </w:tc>
        <w:tc>
          <w:tcPr>
            <w:tcW w:w="47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Provision for income taxes</w:t>
            </w:r>
          </w:p>
        </w:tc>
        <w:tc>
          <w:tcPr>
            <w:tcW w:w="14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1,274</w:t>
            </w:r>
          </w:p>
        </w:tc>
        <w:tc>
          <w:tcPr>
            <w:tcW w:w="6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The differences between income taxes expected at the U.S. federal statutory income tax rate of 21% and the reported income tax (benefit) expense are summarized as follows:</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22" w:right="1440" w:bottom="175"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53"/>
        </w:trPr>
        <w:tc>
          <w:tcPr>
            <w:tcW w:w="5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180"/>
              <w:spacing w:after="0" w:line="197" w:lineRule="exact"/>
              <w:rPr>
                <w:sz w:val="20"/>
                <w:szCs w:val="20"/>
                <w:color w:val="auto"/>
              </w:rPr>
            </w:pPr>
            <w:r>
              <w:rPr>
                <w:rFonts w:ascii="Times New Roman" w:cs="Times New Roman" w:eastAsia="Times New Roman" w:hAnsi="Times New Roman"/>
                <w:sz w:val="20"/>
                <w:szCs w:val="20"/>
                <w:b w:val="1"/>
                <w:bCs w:val="1"/>
                <w:color w:val="auto"/>
                <w:w w:val="97"/>
              </w:rPr>
              <w:t>December 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80"/>
              <w:spacing w:after="0" w:line="197" w:lineRule="exact"/>
              <w:rPr>
                <w:sz w:val="20"/>
                <w:szCs w:val="20"/>
                <w:color w:val="auto"/>
              </w:rPr>
            </w:pPr>
            <w:r>
              <w:rPr>
                <w:rFonts w:ascii="Times New Roman" w:cs="Times New Roman" w:eastAsia="Times New Roman" w:hAnsi="Times New Roman"/>
                <w:sz w:val="20"/>
                <w:szCs w:val="20"/>
                <w:b w:val="1"/>
                <w:bCs w:val="1"/>
                <w:color w:val="auto"/>
                <w:w w:val="99"/>
              </w:rPr>
              <w:t>December 30,</w:t>
            </w:r>
          </w:p>
        </w:tc>
        <w:tc>
          <w:tcPr>
            <w:tcW w:w="0" w:type="dxa"/>
            <w:vAlign w:val="bottom"/>
          </w:tcPr>
          <w:p>
            <w:pPr>
              <w:spacing w:after="0"/>
              <w:rPr>
                <w:sz w:val="1"/>
                <w:szCs w:val="1"/>
                <w:color w:val="auto"/>
              </w:rPr>
            </w:pPr>
          </w:p>
        </w:tc>
      </w:tr>
      <w:tr>
        <w:trPr>
          <w:trHeight w:val="253"/>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20"/>
        </w:trPr>
        <w:tc>
          <w:tcPr>
            <w:tcW w:w="55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Expected income tax (benefit) expense at federal statutory rate</w:t>
            </w:r>
          </w:p>
        </w:tc>
        <w:tc>
          <w:tcPr>
            <w:tcW w:w="6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2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1,070</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income tax benefit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790</w:t>
            </w:r>
          </w:p>
        </w:tc>
        <w:tc>
          <w:tcPr>
            <w:tcW w:w="0" w:type="dxa"/>
            <w:vAlign w:val="bottom"/>
          </w:tcPr>
          <w:p>
            <w:pPr>
              <w:spacing w:after="0"/>
              <w:rPr>
                <w:sz w:val="1"/>
                <w:szCs w:val="1"/>
                <w:color w:val="auto"/>
              </w:rPr>
            </w:pPr>
          </w:p>
        </w:tc>
      </w:tr>
      <w:tr>
        <w:trPr>
          <w:trHeight w:val="230"/>
        </w:trPr>
        <w:tc>
          <w:tcPr>
            <w:tcW w:w="55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Return to provision true-up</w:t>
            </w:r>
          </w:p>
        </w:tc>
        <w:tc>
          <w:tcPr>
            <w:tcW w:w="5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40" w:type="dxa"/>
            <w:vAlign w:val="bottom"/>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1,774</w:t>
            </w:r>
          </w:p>
        </w:tc>
        <w:tc>
          <w:tcPr>
            <w:tcW w:w="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460" w:type="dxa"/>
            <w:vAlign w:val="bottom"/>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Permanent items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562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30"/>
        </w:trPr>
        <w:tc>
          <w:tcPr>
            <w:tcW w:w="55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5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40" w:type="dxa"/>
            <w:vAlign w:val="bottom"/>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1460" w:type="dxa"/>
            <w:vAlign w:val="bottom"/>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1,987</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5,248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(2,645)</w:t>
            </w:r>
          </w:p>
        </w:tc>
        <w:tc>
          <w:tcPr>
            <w:tcW w:w="0" w:type="dxa"/>
            <w:vAlign w:val="bottom"/>
          </w:tcPr>
          <w:p>
            <w:pPr>
              <w:spacing w:after="0"/>
              <w:rPr>
                <w:sz w:val="1"/>
                <w:szCs w:val="1"/>
                <w:color w:val="auto"/>
              </w:rPr>
            </w:pPr>
          </w:p>
        </w:tc>
      </w:tr>
      <w:tr>
        <w:trPr>
          <w:trHeight w:val="230"/>
        </w:trPr>
        <w:tc>
          <w:tcPr>
            <w:tcW w:w="55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State rate change</w:t>
            </w:r>
          </w:p>
        </w:tc>
        <w:tc>
          <w:tcPr>
            <w:tcW w:w="5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4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(7,131)</w:t>
            </w:r>
          </w:p>
        </w:tc>
        <w:tc>
          <w:tcPr>
            <w:tcW w:w="18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460" w:type="dxa"/>
            <w:vAlign w:val="bottom"/>
            <w:tcBorders>
              <w:bottom w:val="single" w:sz="8" w:color="auto"/>
            </w:tcBorders>
            <w:shd w:val="clear" w:color="auto" w:fill="E9E9E9"/>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540" w:type="dxa"/>
            <w:vAlign w:val="bottom"/>
            <w:tcBorders>
              <w:bottom w:val="single" w:sz="8" w:color="E9E9E9"/>
            </w:tcBorders>
          </w:tcPr>
          <w:p>
            <w:pPr>
              <w:spacing w:after="0" w:line="220" w:lineRule="exact"/>
              <w:rPr>
                <w:sz w:val="20"/>
                <w:szCs w:val="20"/>
                <w:color w:val="auto"/>
              </w:rPr>
            </w:pPr>
            <w:r>
              <w:rPr>
                <w:rFonts w:ascii="Times New Roman" w:cs="Times New Roman" w:eastAsia="Times New Roman" w:hAnsi="Times New Roman"/>
                <w:sz w:val="20"/>
                <w:szCs w:val="20"/>
                <w:color w:val="auto"/>
              </w:rPr>
              <w:t>Reported provision for income taxes</w:t>
            </w:r>
          </w:p>
        </w:tc>
        <w:tc>
          <w:tcPr>
            <w:tcW w:w="52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9E9E9"/>
            </w:tcBorders>
          </w:tcPr>
          <w:p>
            <w:pPr>
              <w:spacing w:after="0"/>
              <w:rPr>
                <w:sz w:val="22"/>
                <w:szCs w:val="22"/>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15"/>
        </w:trPr>
        <w:tc>
          <w:tcPr>
            <w:tcW w:w="5540" w:type="dxa"/>
            <w:vAlign w:val="bottom"/>
            <w:shd w:val="clear" w:color="auto" w:fill="E9E9E9"/>
          </w:tcPr>
          <w:p>
            <w:pPr>
              <w:spacing w:after="0" w:line="215" w:lineRule="exact"/>
              <w:rPr>
                <w:sz w:val="20"/>
                <w:szCs w:val="20"/>
                <w:color w:val="auto"/>
              </w:rPr>
            </w:pPr>
            <w:r>
              <w:rPr>
                <w:rFonts w:ascii="Times New Roman" w:cs="Times New Roman" w:eastAsia="Times New Roman" w:hAnsi="Times New Roman"/>
                <w:sz w:val="20"/>
                <w:szCs w:val="20"/>
                <w:color w:val="auto"/>
              </w:rPr>
              <w:t>Effective tax rate</w:t>
            </w:r>
          </w:p>
        </w:tc>
        <w:tc>
          <w:tcPr>
            <w:tcW w:w="52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1440" w:type="dxa"/>
            <w:vAlign w:val="bottom"/>
            <w:shd w:val="clear" w:color="auto" w:fill="E9E9E9"/>
          </w:tcPr>
          <w:p>
            <w:pPr>
              <w:jc w:val="right"/>
              <w:spacing w:after="0" w:line="215" w:lineRule="exact"/>
              <w:rPr>
                <w:sz w:val="20"/>
                <w:szCs w:val="20"/>
                <w:color w:val="auto"/>
              </w:rPr>
            </w:pPr>
            <w:r>
              <w:rPr>
                <w:rFonts w:ascii="Times New Roman" w:cs="Times New Roman" w:eastAsia="Times New Roman" w:hAnsi="Times New Roman"/>
                <w:sz w:val="20"/>
                <w:szCs w:val="20"/>
                <w:color w:val="auto"/>
              </w:rPr>
              <w:t>0%</w:t>
            </w:r>
          </w:p>
        </w:tc>
        <w:tc>
          <w:tcPr>
            <w:tcW w:w="18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1460" w:type="dxa"/>
            <w:vAlign w:val="bottom"/>
            <w:shd w:val="clear" w:color="auto" w:fill="E9E9E9"/>
          </w:tcPr>
          <w:p>
            <w:pPr>
              <w:jc w:val="right"/>
              <w:spacing w:after="0" w:line="215"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Deferred income taxes represent the tax effects of temporary differences between the carrying amounts of assets and liabilities for financial reporting purposes and the amounts used for income tax purposes. The components of deferred tax liabilities and assets are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0" w:type="dxa"/>
            <w:vAlign w:val="bottom"/>
          </w:tcPr>
          <w:p>
            <w:pPr>
              <w:spacing w:after="0"/>
              <w:rPr>
                <w:sz w:val="1"/>
                <w:szCs w:val="1"/>
                <w:color w:val="auto"/>
              </w:rPr>
            </w:pPr>
          </w:p>
        </w:tc>
      </w:tr>
      <w:tr>
        <w:trPr>
          <w:trHeight w:val="253"/>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34"/>
        </w:trPr>
        <w:tc>
          <w:tcPr>
            <w:tcW w:w="5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20" w:type="dxa"/>
            <w:vAlign w:val="bottom"/>
            <w:gridSpan w:val="3"/>
          </w:tcPr>
          <w:p>
            <w:pPr>
              <w:jc w:val="right"/>
              <w:ind w:right="92"/>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(12,682)</w:t>
            </w:r>
          </w:p>
        </w:tc>
        <w:tc>
          <w:tcPr>
            <w:tcW w:w="0" w:type="dxa"/>
            <w:vAlign w:val="bottom"/>
          </w:tcPr>
          <w:p>
            <w:pPr>
              <w:spacing w:after="0"/>
              <w:rPr>
                <w:sz w:val="1"/>
                <w:szCs w:val="1"/>
                <w:color w:val="auto"/>
              </w:rPr>
            </w:pPr>
          </w:p>
        </w:tc>
      </w:tr>
      <w:tr>
        <w:trPr>
          <w:trHeight w:val="230"/>
        </w:trPr>
        <w:tc>
          <w:tcPr>
            <w:tcW w:w="50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Right-of-use asset</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(6,654)</w:t>
            </w:r>
          </w:p>
        </w:tc>
        <w:tc>
          <w:tcPr>
            <w:tcW w:w="14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(6,169)</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E9E9E9"/>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14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(17,252)</w:t>
            </w:r>
          </w:p>
        </w:tc>
        <w:tc>
          <w:tcPr>
            <w:tcW w:w="14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(18,851)</w:t>
            </w:r>
          </w:p>
        </w:tc>
        <w:tc>
          <w:tcPr>
            <w:tcW w:w="0" w:type="dxa"/>
            <w:vAlign w:val="bottom"/>
          </w:tcPr>
          <w:p>
            <w:pPr>
              <w:spacing w:after="0"/>
              <w:rPr>
                <w:sz w:val="1"/>
                <w:szCs w:val="1"/>
                <w:color w:val="auto"/>
              </w:rPr>
            </w:pPr>
          </w:p>
        </w:tc>
      </w:tr>
      <w:tr>
        <w:trPr>
          <w:trHeight w:val="220"/>
        </w:trPr>
        <w:tc>
          <w:tcPr>
            <w:tcW w:w="500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Intangible assets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34,457</w:t>
            </w:r>
          </w:p>
        </w:tc>
        <w:tc>
          <w:tcPr>
            <w:tcW w:w="14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35,818</w:t>
            </w:r>
          </w:p>
        </w:tc>
        <w:tc>
          <w:tcPr>
            <w:tcW w:w="0" w:type="dxa"/>
            <w:vAlign w:val="bottom"/>
          </w:tcPr>
          <w:p>
            <w:pPr>
              <w:spacing w:after="0"/>
              <w:rPr>
                <w:sz w:val="1"/>
                <w:szCs w:val="1"/>
                <w:color w:val="auto"/>
              </w:rPr>
            </w:pPr>
          </w:p>
        </w:tc>
      </w:tr>
      <w:tr>
        <w:trPr>
          <w:trHeight w:val="230"/>
        </w:trPr>
        <w:tc>
          <w:tcPr>
            <w:tcW w:w="50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Contract loss reserve</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11,143</w:t>
            </w: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17,687</w:t>
            </w: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partnerships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25,645</w:t>
            </w:r>
          </w:p>
        </w:tc>
        <w:tc>
          <w:tcPr>
            <w:tcW w:w="0" w:type="dxa"/>
            <w:vAlign w:val="bottom"/>
          </w:tcPr>
          <w:p>
            <w:pPr>
              <w:spacing w:after="0"/>
              <w:rPr>
                <w:sz w:val="1"/>
                <w:szCs w:val="1"/>
                <w:color w:val="auto"/>
              </w:rPr>
            </w:pPr>
          </w:p>
        </w:tc>
      </w:tr>
      <w:tr>
        <w:trPr>
          <w:trHeight w:val="230"/>
        </w:trPr>
        <w:tc>
          <w:tcPr>
            <w:tcW w:w="50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Lease liability</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6,586</w:t>
            </w: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6,132</w:t>
            </w: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compensation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0" w:type="dxa"/>
            <w:vAlign w:val="bottom"/>
          </w:tcPr>
          <w:p>
            <w:pPr>
              <w:spacing w:after="0"/>
              <w:rPr>
                <w:sz w:val="1"/>
                <w:szCs w:val="1"/>
                <w:color w:val="auto"/>
              </w:rPr>
            </w:pPr>
          </w:p>
        </w:tc>
      </w:tr>
      <w:tr>
        <w:trPr>
          <w:trHeight w:val="230"/>
        </w:trPr>
        <w:tc>
          <w:tcPr>
            <w:tcW w:w="50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Accrued expenses and reserves</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5,895</w:t>
            </w: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9,409</w:t>
            </w:r>
          </w:p>
        </w:tc>
        <w:tc>
          <w:tcPr>
            <w:tcW w:w="0" w:type="dxa"/>
            <w:vAlign w:val="bottom"/>
          </w:tcPr>
          <w:p>
            <w:pPr>
              <w:spacing w:after="0"/>
              <w:rPr>
                <w:sz w:val="1"/>
                <w:szCs w:val="1"/>
                <w:color w:val="auto"/>
              </w:rPr>
            </w:pPr>
          </w:p>
        </w:tc>
      </w:tr>
      <w:tr>
        <w:trPr>
          <w:trHeight w:val="230"/>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Section 382 limitation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30,070</w:t>
            </w:r>
          </w:p>
        </w:tc>
        <w:tc>
          <w:tcPr>
            <w:tcW w:w="0" w:type="dxa"/>
            <w:vAlign w:val="bottom"/>
          </w:tcPr>
          <w:p>
            <w:pPr>
              <w:spacing w:after="0"/>
              <w:rPr>
                <w:sz w:val="1"/>
                <w:szCs w:val="1"/>
                <w:color w:val="auto"/>
              </w:rPr>
            </w:pPr>
          </w:p>
        </w:tc>
      </w:tr>
      <w:tr>
        <w:trPr>
          <w:trHeight w:val="230"/>
        </w:trPr>
        <w:tc>
          <w:tcPr>
            <w:tcW w:w="50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24,629</w:t>
            </w:r>
          </w:p>
        </w:tc>
        <w:tc>
          <w:tcPr>
            <w:tcW w:w="14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11,003</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E9E9E9"/>
            </w:tcBorders>
          </w:tcPr>
          <w:p>
            <w:pPr>
              <w:ind w:left="200"/>
              <w:spacing w:after="0"/>
              <w:rPr>
                <w:sz w:val="20"/>
                <w:szCs w:val="20"/>
                <w:color w:val="auto"/>
              </w:rPr>
            </w:pPr>
            <w:r>
              <w:rPr>
                <w:rFonts w:ascii="Times New Roman" w:cs="Times New Roman" w:eastAsia="Times New Roman" w:hAnsi="Times New Roman"/>
                <w:sz w:val="20"/>
                <w:szCs w:val="20"/>
                <w:color w:val="auto"/>
              </w:rPr>
              <w:t>Other deferred tax assets</w:t>
            </w:r>
          </w:p>
        </w:tc>
        <w:tc>
          <w:tcPr>
            <w:tcW w:w="14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14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0" w:type="dxa"/>
            <w:vAlign w:val="bottom"/>
          </w:tcPr>
          <w:p>
            <w:pPr>
              <w:spacing w:after="0"/>
              <w:rPr>
                <w:sz w:val="1"/>
                <w:szCs w:val="1"/>
                <w:color w:val="auto"/>
              </w:rPr>
            </w:pPr>
          </w:p>
        </w:tc>
      </w:tr>
      <w:tr>
        <w:trPr>
          <w:trHeight w:val="220"/>
        </w:trPr>
        <w:tc>
          <w:tcPr>
            <w:tcW w:w="5000" w:type="dxa"/>
            <w:vAlign w:val="bottom"/>
            <w:shd w:val="clear" w:color="auto" w:fill="E9E9E9"/>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deferred tax assets</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140,928</w:t>
            </w:r>
          </w:p>
        </w:tc>
        <w:tc>
          <w:tcPr>
            <w:tcW w:w="14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137,279</w:t>
            </w:r>
          </w:p>
        </w:tc>
        <w:tc>
          <w:tcPr>
            <w:tcW w:w="0" w:type="dxa"/>
            <w:vAlign w:val="bottom"/>
          </w:tcPr>
          <w:p>
            <w:pPr>
              <w:spacing w:after="0"/>
              <w:rPr>
                <w:sz w:val="1"/>
                <w:szCs w:val="1"/>
                <w:color w:val="auto"/>
              </w:rPr>
            </w:pPr>
          </w:p>
        </w:tc>
      </w:tr>
      <w:tr>
        <w:trPr>
          <w:trHeight w:val="220"/>
        </w:trPr>
        <w:tc>
          <w:tcPr>
            <w:tcW w:w="5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 before valuation allowance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123,676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118,428</w:t>
            </w:r>
          </w:p>
        </w:tc>
        <w:tc>
          <w:tcPr>
            <w:tcW w:w="0" w:type="dxa"/>
            <w:vAlign w:val="bottom"/>
          </w:tcPr>
          <w:p>
            <w:pPr>
              <w:spacing w:after="0"/>
              <w:rPr>
                <w:sz w:val="1"/>
                <w:szCs w:val="1"/>
                <w:color w:val="auto"/>
              </w:rPr>
            </w:pPr>
          </w:p>
        </w:tc>
      </w:tr>
      <w:tr>
        <w:trPr>
          <w:trHeight w:val="230"/>
        </w:trPr>
        <w:tc>
          <w:tcPr>
            <w:tcW w:w="50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Less: Valuation allowance</w:t>
            </w:r>
          </w:p>
        </w:tc>
        <w:tc>
          <w:tcPr>
            <w:tcW w:w="1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(123,676)</w:t>
            </w:r>
          </w:p>
        </w:tc>
        <w:tc>
          <w:tcPr>
            <w:tcW w:w="140" w:type="dxa"/>
            <w:vAlign w:val="bottom"/>
            <w:shd w:val="clear" w:color="auto" w:fill="E9E9E9"/>
          </w:tcPr>
          <w:p>
            <w:pPr>
              <w:spacing w:after="0"/>
              <w:rPr>
                <w:sz w:val="19"/>
                <w:szCs w:val="19"/>
                <w:color w:val="auto"/>
              </w:rPr>
            </w:pPr>
          </w:p>
        </w:tc>
        <w:tc>
          <w:tcPr>
            <w:tcW w:w="260" w:type="dxa"/>
            <w:vAlign w:val="bottom"/>
            <w:tcBorders>
              <w:bottom w:val="single" w:sz="8" w:color="auto"/>
            </w:tcBorders>
            <w:shd w:val="clear" w:color="auto" w:fill="E9E9E9"/>
          </w:tcPr>
          <w:p>
            <w:pPr>
              <w:spacing w:after="0"/>
              <w:rPr>
                <w:sz w:val="19"/>
                <w:szCs w:val="19"/>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(118,428)</w:t>
            </w:r>
          </w:p>
        </w:tc>
        <w:tc>
          <w:tcPr>
            <w:tcW w:w="0" w:type="dxa"/>
            <w:vAlign w:val="bottom"/>
          </w:tcPr>
          <w:p>
            <w:pPr>
              <w:spacing w:after="0"/>
              <w:rPr>
                <w:sz w:val="1"/>
                <w:szCs w:val="1"/>
                <w:color w:val="auto"/>
              </w:rPr>
            </w:pPr>
          </w:p>
        </w:tc>
      </w:tr>
      <w:tr>
        <w:trPr>
          <w:trHeight w:val="220"/>
        </w:trPr>
        <w:tc>
          <w:tcPr>
            <w:tcW w:w="5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As of December 29, 2023 and December 30, 2022, gross deferred tax assets were $141 million and $137 million, respectively. The Company has recorded a valuation allowance of $124 million and $118 million as of December 29, 2023 and December 30, 2022, respectively. The Company has performed an assessment of positive and negative evidence, including the nature, frequency, and severity of cumulative financial reporting losses in recent years, the future reversal of existing temporary differences, predictability of future taxable income exclusive of reversing temporary differences of the character necessary to realize the asset, relevant carryforward periods, taxable income in carry-back years if carry- back is permitted under tax law, and prudent and feasible tax planning strategies that would be implemented, if necessary, to protect against the loss of the deferred tax asset that would otherwise expire. The $6 million increase in the valuation allowance is attributed to the full valuation allowance being recorded on all increases in deferred tax assets in the current period.</w:t>
      </w:r>
    </w:p>
    <w:p>
      <w:pPr>
        <w:spacing w:after="0" w:line="162"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color w:val="auto"/>
        </w:rPr>
        <w:t>The Company recognizes interest and penalties related to tax matters as a component of “Selling, general and administrative expenses” in the accompanying consolidated statements of operations.</w:t>
      </w:r>
    </w:p>
    <w:p>
      <w:pPr>
        <w:sectPr>
          <w:pgSz w:w="12240" w:h="15840" w:orient="portrait"/>
          <w:cols w:equalWidth="0" w:num="1">
            <w:col w:w="9360"/>
          </w:cols>
          <w:pgMar w:left="1440" w:top="1430" w:right="1440" w:bottom="175"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30" w:right="1440" w:bottom="175" w:gutter="0" w:footer="0" w:header="0"/>
          <w:type w:val="continuous"/>
        </w:sectPr>
      </w:pPr>
    </w:p>
    <w:bookmarkStart w:id="86" w:name="page87"/>
    <w:bookmarkEnd w:id="86"/>
    <w:p>
      <w:pPr>
        <w:ind w:right="140"/>
        <w:spacing w:after="0" w:line="246" w:lineRule="auto"/>
        <w:rPr>
          <w:sz w:val="20"/>
          <w:szCs w:val="20"/>
          <w:color w:val="auto"/>
        </w:rPr>
      </w:pPr>
      <w:r>
        <w:rPr>
          <w:rFonts w:ascii="Times New Roman" w:cs="Times New Roman" w:eastAsia="Times New Roman" w:hAnsi="Times New Roman"/>
          <w:sz w:val="20"/>
          <w:szCs w:val="20"/>
          <w:color w:val="auto"/>
        </w:rPr>
        <w:t>At December 29, 2023, the Company had U.S. federal and state net operating loss (“NOL”) carryforwards of $89 million and $87 million, respectively. The U.S. federal NOL carryforward does not expire and can be carried forward indefinitely, but can only offset up to 80% of taxable income in future years. The state NOL carryforwards have both indefinite and limited carryforward periods, depending on state jurisdictions, and expire beginning in 2036 through 2042. At December 29, 2023, the Company had a full valuation allowance related to the tax-effected amount of these net operating losses. The Company had no unrecognized tax benefits recorded at December 29, 2023.</w:t>
      </w:r>
    </w:p>
    <w:p>
      <w:pPr>
        <w:spacing w:after="0" w:line="16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The Company files income tax returns in numerous tax jurisdictions, including the U.S. and multiple U.S. states. The statute of limitations generally ranges from three to five years for major jurisdictions in which the Company operates. Prior to the acquisition, Shimmick filed as a subsidiary of their parent company, AECOM. In connection with the separation, the Company entered into a tax matters agreement. Under the tax matters agreement, AECOM is generally responsible for all taxes associated with consolidated federal and state filings imposed on AECOM and its subsidiaries (including Shimmick) with respect to taxable periods ended on or prior to January 1, 2021. Also, pursuant to this agreement, AECOM is generally responsible for all taxes associated with separately filed state and local tax filings imposed on Shimmick and its subsidiaries with respect to taxable periods ended on or prior to January 1, 2021. Under these circumstances, Shimmick is only liable for tax periods filed on a standalone basis following the acquisition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Stock-Based Compensation</w:t>
      </w:r>
    </w:p>
    <w:p>
      <w:pPr>
        <w:spacing w:after="0" w:line="20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spacing w:after="0" w:line="15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On November 13, 2023, the Company’s Board approved the Shimmick Corporation 2023 Equity Incentive Plan (the “2023 Omnibus Incentive Plan”). The maximum aggregate number of shares of Common Stock available is 3,729,149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will automatically increase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spacing w:after="0" w:line="16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Total compensation expense related to stock-based grants was $2 million for each of the fiscal years ended December 29, 2023 and December 30, 2022. Unrecognized compensation expense related to stock-based grants to employees of Shimmick outstanding as of December 29, 2023 and December 30, 2022 was $3 million and $5 million, respectively, to be recognized on a straight-line basis over the awards’ weighted average remaining vesting period of 1.3 years and 2.3 years,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fiscal year ended December 29, 2023, stock option activity was as follows: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20" w:right="1440" w:bottom="175"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average years</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 remaining</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19"/>
                <w:szCs w:val="19"/>
                <w:color w:val="auto"/>
              </w:rPr>
            </w:pPr>
          </w:p>
        </w:tc>
        <w:tc>
          <w:tcPr>
            <w:tcW w:w="140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6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exercise price</w:t>
            </w: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average grant</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0" w:type="dxa"/>
            <w:vAlign w:val="bottom"/>
          </w:tcPr>
          <w:p>
            <w:pPr>
              <w:spacing w:after="0"/>
              <w:rPr>
                <w:sz w:val="1"/>
                <w:szCs w:val="1"/>
                <w:color w:val="auto"/>
              </w:rPr>
            </w:pPr>
          </w:p>
        </w:tc>
      </w:tr>
      <w:tr>
        <w:trPr>
          <w:trHeight w:val="253"/>
        </w:trPr>
        <w:tc>
          <w:tcPr>
            <w:tcW w:w="3420" w:type="dxa"/>
            <w:vAlign w:val="bottom"/>
            <w:tcBorders>
              <w:bottom w:val="single" w:sz="8" w:color="E9E9E9"/>
            </w:tcBorders>
          </w:tcPr>
          <w:p>
            <w:pPr>
              <w:spacing w:after="0"/>
              <w:rPr>
                <w:sz w:val="22"/>
                <w:szCs w:val="22"/>
                <w:color w:val="auto"/>
              </w:rPr>
            </w:pPr>
          </w:p>
        </w:tc>
        <w:tc>
          <w:tcPr>
            <w:tcW w:w="14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6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per share</w:t>
            </w:r>
          </w:p>
        </w:tc>
        <w:tc>
          <w:tcPr>
            <w:tcW w:w="160" w:type="dxa"/>
            <w:vAlign w:val="bottom"/>
            <w:tcBorders>
              <w:bottom w:val="single" w:sz="8" w:color="E9E9E9"/>
            </w:tcBorders>
          </w:tcPr>
          <w:p>
            <w:pPr>
              <w:spacing w:after="0"/>
              <w:rPr>
                <w:sz w:val="22"/>
                <w:szCs w:val="22"/>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date fair value</w:t>
            </w:r>
          </w:p>
        </w:tc>
        <w:tc>
          <w:tcPr>
            <w:tcW w:w="120" w:type="dxa"/>
            <w:vAlign w:val="bottom"/>
            <w:tcBorders>
              <w:bottom w:val="single" w:sz="8" w:color="E9E9E9"/>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term</w:t>
            </w:r>
          </w:p>
        </w:tc>
        <w:tc>
          <w:tcPr>
            <w:tcW w:w="0" w:type="dxa"/>
            <w:vAlign w:val="bottom"/>
          </w:tcPr>
          <w:p>
            <w:pPr>
              <w:spacing w:after="0"/>
              <w:rPr>
                <w:sz w:val="1"/>
                <w:szCs w:val="1"/>
                <w:color w:val="auto"/>
              </w:rPr>
            </w:pPr>
          </w:p>
        </w:tc>
      </w:tr>
      <w:tr>
        <w:trPr>
          <w:trHeight w:val="220"/>
        </w:trPr>
        <w:tc>
          <w:tcPr>
            <w:tcW w:w="342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30, 2022</w:t>
            </w:r>
          </w:p>
        </w:tc>
        <w:tc>
          <w:tcPr>
            <w:tcW w:w="140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4,489,094</w:t>
            </w:r>
          </w:p>
        </w:tc>
        <w:tc>
          <w:tcPr>
            <w:tcW w:w="160" w:type="dxa"/>
            <w:vAlign w:val="bottom"/>
            <w:shd w:val="clear" w:color="auto" w:fill="E9E9E9"/>
          </w:tcPr>
          <w:p>
            <w:pPr>
              <w:spacing w:after="0"/>
              <w:rPr>
                <w:sz w:val="19"/>
                <w:szCs w:val="19"/>
                <w:color w:val="auto"/>
              </w:rPr>
            </w:pPr>
          </w:p>
        </w:tc>
        <w:tc>
          <w:tcPr>
            <w:tcW w:w="1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1.26</w:t>
            </w:r>
          </w:p>
        </w:tc>
        <w:tc>
          <w:tcPr>
            <w:tcW w:w="1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9E9E9"/>
          </w:tcPr>
          <w:p>
            <w:pPr>
              <w:spacing w:after="0"/>
              <w:rPr>
                <w:sz w:val="19"/>
                <w:szCs w:val="19"/>
                <w:color w:val="auto"/>
              </w:rPr>
            </w:pPr>
          </w:p>
        </w:tc>
        <w:tc>
          <w:tcPr>
            <w:tcW w:w="140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8.33</w:t>
            </w:r>
          </w:p>
        </w:tc>
        <w:tc>
          <w:tcPr>
            <w:tcW w:w="0" w:type="dxa"/>
            <w:vAlign w:val="bottom"/>
          </w:tcPr>
          <w:p>
            <w:pPr>
              <w:spacing w:after="0"/>
              <w:rPr>
                <w:sz w:val="1"/>
                <w:szCs w:val="1"/>
                <w:color w:val="auto"/>
              </w:rPr>
            </w:pPr>
          </w:p>
        </w:tc>
      </w:tr>
      <w:tr>
        <w:trPr>
          <w:trHeight w:val="230"/>
        </w:trPr>
        <w:tc>
          <w:tcPr>
            <w:tcW w:w="3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4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(184,888)</w:t>
            </w:r>
          </w:p>
        </w:tc>
        <w:tc>
          <w:tcPr>
            <w:tcW w:w="1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6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2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120" w:type="dxa"/>
            <w:vAlign w:val="bottom"/>
            <w:shd w:val="clear" w:color="auto" w:fill="E9E9E9"/>
          </w:tcPr>
          <w:p>
            <w:pPr>
              <w:spacing w:after="0"/>
              <w:rPr>
                <w:sz w:val="19"/>
                <w:szCs w:val="19"/>
                <w:color w:val="auto"/>
              </w:rPr>
            </w:pPr>
          </w:p>
        </w:tc>
        <w:tc>
          <w:tcPr>
            <w:tcW w:w="14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E9E9E9"/>
            </w:tcBorders>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(156,946)</w:t>
            </w:r>
          </w:p>
        </w:tc>
        <w:tc>
          <w:tcPr>
            <w:tcW w:w="160" w:type="dxa"/>
            <w:vAlign w:val="bottom"/>
            <w:tcBorders>
              <w:bottom w:val="single" w:sz="8" w:color="E9E9E9"/>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60" w:type="dxa"/>
            <w:vAlign w:val="bottom"/>
            <w:tcBorders>
              <w:bottom w:val="single" w:sz="8" w:color="E9E9E9"/>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9E9E9"/>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342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29, 2023</w:t>
            </w:r>
          </w:p>
        </w:tc>
        <w:tc>
          <w:tcPr>
            <w:tcW w:w="14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4,137,183</w:t>
            </w:r>
          </w:p>
        </w:tc>
        <w:tc>
          <w:tcPr>
            <w:tcW w:w="160" w:type="dxa"/>
            <w:vAlign w:val="bottom"/>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spacing w:after="0"/>
              <w:rPr>
                <w:sz w:val="19"/>
                <w:szCs w:val="19"/>
                <w:color w:val="auto"/>
              </w:rPr>
            </w:pPr>
          </w:p>
        </w:tc>
        <w:tc>
          <w:tcPr>
            <w:tcW w:w="118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1.26</w:t>
            </w:r>
          </w:p>
        </w:tc>
        <w:tc>
          <w:tcPr>
            <w:tcW w:w="160" w:type="dxa"/>
            <w:vAlign w:val="bottom"/>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spacing w:after="0"/>
              <w:rPr>
                <w:sz w:val="19"/>
                <w:szCs w:val="19"/>
                <w:color w:val="auto"/>
              </w:rPr>
            </w:pPr>
          </w:p>
        </w:tc>
        <w:tc>
          <w:tcPr>
            <w:tcW w:w="12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9E9E9"/>
          </w:tcPr>
          <w:p>
            <w:pPr>
              <w:spacing w:after="0"/>
              <w:rPr>
                <w:sz w:val="19"/>
                <w:szCs w:val="19"/>
                <w:color w:val="auto"/>
              </w:rPr>
            </w:pPr>
          </w:p>
        </w:tc>
        <w:tc>
          <w:tcPr>
            <w:tcW w:w="140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7.60</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as of December 29, 2023</w:t>
            </w: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20" w:type="dxa"/>
            <w:vAlign w:val="bottom"/>
            <w:vMerge w:val="continue"/>
          </w:tcPr>
          <w:p>
            <w:pPr>
              <w:spacing w:after="0"/>
              <w:rPr>
                <w:sz w:val="18"/>
                <w:szCs w:val="18"/>
                <w:color w:val="auto"/>
              </w:rPr>
            </w:pPr>
          </w:p>
        </w:tc>
        <w:tc>
          <w:tcPr>
            <w:tcW w:w="14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2,701,306</w:t>
            </w:r>
          </w:p>
        </w:tc>
        <w:tc>
          <w:tcPr>
            <w:tcW w:w="1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1.26</w:t>
            </w:r>
          </w:p>
        </w:tc>
        <w:tc>
          <w:tcPr>
            <w:tcW w:w="1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vMerge w:val="continue"/>
          </w:tcPr>
          <w:p>
            <w:pPr>
              <w:spacing w:after="0"/>
              <w:rPr>
                <w:sz w:val="18"/>
                <w:szCs w:val="18"/>
                <w:color w:val="auto"/>
              </w:rPr>
            </w:pPr>
          </w:p>
        </w:tc>
        <w:tc>
          <w:tcPr>
            <w:tcW w:w="14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7.60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Earnings Per Share</w:t>
      </w:r>
    </w:p>
    <w:p>
      <w:pPr>
        <w:spacing w:after="0" w:line="20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Basic earnings per share (“EPS”) is calculated based on the weighted average shares outstanding during the period. Diluted earnings per share includes the dilutive effect of employee and director stock options. Stock options are considered dilutive whenever the exercise price is less than the average market price of the stock during the period and antidilutive whenever the exercise price exceeds the average market price of the common stock during the period. All 4.1 and 4.5 million employee stock options were excluded from the calculation of diluted earnings per share for the fiscal years ended December 29, 2023 and December 30, 2022, respectively, as they are antidilutive to the EPS calculation. The computation of basic and diluted EPS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140" w:type="dxa"/>
            <w:vAlign w:val="bottom"/>
          </w:tcPr>
          <w:p>
            <w:pPr>
              <w:spacing w:after="0"/>
              <w:rPr>
                <w:sz w:val="17"/>
                <w:szCs w:val="17"/>
                <w:color w:val="auto"/>
              </w:rPr>
            </w:pPr>
          </w:p>
        </w:tc>
        <w:tc>
          <w:tcPr>
            <w:tcW w:w="140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0" w:type="dxa"/>
            <w:vAlign w:val="bottom"/>
          </w:tcPr>
          <w:p>
            <w:pPr>
              <w:spacing w:after="0"/>
              <w:rPr>
                <w:sz w:val="1"/>
                <w:szCs w:val="1"/>
                <w:color w:val="auto"/>
              </w:rPr>
            </w:pPr>
          </w:p>
        </w:tc>
      </w:tr>
      <w:tr>
        <w:trPr>
          <w:trHeight w:val="253"/>
        </w:trPr>
        <w:tc>
          <w:tcPr>
            <w:tcW w:w="634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per share data)</w:t>
            </w:r>
          </w:p>
        </w:tc>
        <w:tc>
          <w:tcPr>
            <w:tcW w:w="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20"/>
        </w:trPr>
        <w:tc>
          <w:tcPr>
            <w:tcW w:w="634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c>
          <w:tcPr>
            <w:tcW w:w="14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2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(loss) income attributable to Shimmick Corporation</w:t>
            </w:r>
          </w:p>
        </w:tc>
        <w:tc>
          <w:tcPr>
            <w:tcW w:w="8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(2,546)</w:t>
            </w:r>
          </w:p>
        </w:tc>
        <w:tc>
          <w:tcPr>
            <w:tcW w:w="14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3,760</w:t>
            </w:r>
          </w:p>
        </w:tc>
        <w:tc>
          <w:tcPr>
            <w:tcW w:w="0" w:type="dxa"/>
            <w:vAlign w:val="bottom"/>
          </w:tcPr>
          <w:p>
            <w:pPr>
              <w:spacing w:after="0"/>
              <w:rPr>
                <w:sz w:val="1"/>
                <w:szCs w:val="1"/>
                <w:color w:val="auto"/>
              </w:rPr>
            </w:pPr>
          </w:p>
        </w:tc>
      </w:tr>
      <w:tr>
        <w:trPr>
          <w:trHeight w:val="230"/>
        </w:trPr>
        <w:tc>
          <w:tcPr>
            <w:tcW w:w="63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Numerator for basic and diluted EPS</w:t>
            </w:r>
          </w:p>
        </w:tc>
        <w:tc>
          <w:tcPr>
            <w:tcW w:w="36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(2,546)</w:t>
            </w:r>
          </w:p>
        </w:tc>
        <w:tc>
          <w:tcPr>
            <w:tcW w:w="42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3,760</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Denominator for basic EPS - weighted average shares</w:t>
            </w:r>
          </w:p>
        </w:tc>
        <w:tc>
          <w:tcPr>
            <w:tcW w:w="8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22,356</w:t>
            </w:r>
          </w:p>
        </w:tc>
        <w:tc>
          <w:tcPr>
            <w:tcW w:w="140" w:type="dxa"/>
            <w:vAlign w:val="bottom"/>
            <w:shd w:val="clear" w:color="auto" w:fill="E9E9E9"/>
          </w:tcPr>
          <w:p>
            <w:pPr>
              <w:spacing w:after="0"/>
              <w:rPr>
                <w:sz w:val="19"/>
                <w:szCs w:val="19"/>
                <w:color w:val="auto"/>
              </w:rPr>
            </w:pPr>
          </w:p>
        </w:tc>
        <w:tc>
          <w:tcPr>
            <w:tcW w:w="280" w:type="dxa"/>
            <w:vAlign w:val="bottom"/>
            <w:shd w:val="clear" w:color="auto" w:fill="E9E9E9"/>
          </w:tcPr>
          <w:p>
            <w:pPr>
              <w:spacing w:after="0"/>
              <w:rPr>
                <w:sz w:val="19"/>
                <w:szCs w:val="19"/>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21,909</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Employee stock options</w:t>
            </w:r>
          </w:p>
        </w:tc>
        <w:tc>
          <w:tcPr>
            <w:tcW w:w="8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spacing w:after="0"/>
              <w:rPr>
                <w:sz w:val="19"/>
                <w:szCs w:val="19"/>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9E9E9"/>
          </w:tcPr>
          <w:p>
            <w:pPr>
              <w:spacing w:after="0"/>
              <w:rPr>
                <w:sz w:val="19"/>
                <w:szCs w:val="19"/>
                <w:color w:val="auto"/>
              </w:rPr>
            </w:pPr>
          </w:p>
        </w:tc>
        <w:tc>
          <w:tcPr>
            <w:tcW w:w="280" w:type="dxa"/>
            <w:vAlign w:val="bottom"/>
            <w:tcBorders>
              <w:bottom w:val="single" w:sz="8" w:color="auto"/>
            </w:tcBorders>
            <w:shd w:val="clear" w:color="auto" w:fill="E9E9E9"/>
          </w:tcPr>
          <w:p>
            <w:pPr>
              <w:spacing w:after="0"/>
              <w:rPr>
                <w:sz w:val="19"/>
                <w:szCs w:val="19"/>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E9E9E9"/>
            </w:tcBorders>
          </w:tcPr>
          <w:p>
            <w:pPr>
              <w:spacing w:after="0" w:line="220" w:lineRule="exact"/>
              <w:rPr>
                <w:sz w:val="20"/>
                <w:szCs w:val="20"/>
                <w:color w:val="auto"/>
              </w:rPr>
            </w:pPr>
            <w:r>
              <w:rPr>
                <w:rFonts w:ascii="Times New Roman" w:cs="Times New Roman" w:eastAsia="Times New Roman" w:hAnsi="Times New Roman"/>
                <w:sz w:val="20"/>
                <w:szCs w:val="20"/>
                <w:color w:val="auto"/>
              </w:rPr>
              <w:t>Dilutive potential common shares</w:t>
            </w:r>
          </w:p>
        </w:tc>
        <w:tc>
          <w:tcPr>
            <w:tcW w:w="8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1"/>
        </w:trPr>
        <w:tc>
          <w:tcPr>
            <w:tcW w:w="6340" w:type="dxa"/>
            <w:vAlign w:val="bottom"/>
            <w:shd w:val="clear" w:color="auto" w:fill="E9E9E9"/>
          </w:tcPr>
          <w:p>
            <w:pPr>
              <w:spacing w:after="0" w:line="201" w:lineRule="exact"/>
              <w:rPr>
                <w:sz w:val="20"/>
                <w:szCs w:val="20"/>
                <w:color w:val="auto"/>
              </w:rPr>
            </w:pPr>
            <w:r>
              <w:rPr>
                <w:rFonts w:ascii="Times New Roman" w:cs="Times New Roman" w:eastAsia="Times New Roman" w:hAnsi="Times New Roman"/>
                <w:sz w:val="20"/>
                <w:szCs w:val="20"/>
                <w:color w:val="auto"/>
              </w:rPr>
              <w:t>Denominator for diluted EPS - adjusted weighted average shares and assumed</w:t>
            </w:r>
          </w:p>
        </w:tc>
        <w:tc>
          <w:tcPr>
            <w:tcW w:w="80" w:type="dxa"/>
            <w:vAlign w:val="bottom"/>
            <w:shd w:val="clear" w:color="auto" w:fill="E9E9E9"/>
          </w:tcPr>
          <w:p>
            <w:pPr>
              <w:spacing w:after="0"/>
              <w:rPr>
                <w:sz w:val="17"/>
                <w:szCs w:val="17"/>
                <w:color w:val="auto"/>
              </w:rPr>
            </w:pPr>
          </w:p>
        </w:tc>
        <w:tc>
          <w:tcPr>
            <w:tcW w:w="280" w:type="dxa"/>
            <w:vAlign w:val="bottom"/>
            <w:shd w:val="clear" w:color="auto" w:fill="E9E9E9"/>
          </w:tcPr>
          <w:p>
            <w:pPr>
              <w:spacing w:after="0"/>
              <w:rPr>
                <w:sz w:val="17"/>
                <w:szCs w:val="17"/>
                <w:color w:val="auto"/>
              </w:rPr>
            </w:pPr>
          </w:p>
        </w:tc>
        <w:tc>
          <w:tcPr>
            <w:tcW w:w="11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280" w:type="dxa"/>
            <w:vAlign w:val="bottom"/>
            <w:shd w:val="clear" w:color="auto" w:fill="E9E9E9"/>
          </w:tcPr>
          <w:p>
            <w:pPr>
              <w:spacing w:after="0"/>
              <w:rPr>
                <w:sz w:val="17"/>
                <w:szCs w:val="17"/>
                <w:color w:val="auto"/>
              </w:rPr>
            </w:pPr>
          </w:p>
        </w:tc>
        <w:tc>
          <w:tcPr>
            <w:tcW w:w="112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3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conversions</w:t>
            </w:r>
          </w:p>
        </w:tc>
        <w:tc>
          <w:tcPr>
            <w:tcW w:w="80" w:type="dxa"/>
            <w:vAlign w:val="bottom"/>
            <w:shd w:val="clear" w:color="auto" w:fill="E9E9E9"/>
          </w:tcPr>
          <w:p>
            <w:pPr>
              <w:spacing w:after="0"/>
              <w:rPr>
                <w:sz w:val="21"/>
                <w:szCs w:val="21"/>
                <w:color w:val="auto"/>
              </w:rPr>
            </w:pPr>
          </w:p>
        </w:tc>
        <w:tc>
          <w:tcPr>
            <w:tcW w:w="280" w:type="dxa"/>
            <w:vAlign w:val="bottom"/>
            <w:tcBorders>
              <w:bottom w:val="single" w:sz="8" w:color="auto"/>
            </w:tcBorders>
            <w:shd w:val="clear" w:color="auto" w:fill="E9E9E9"/>
          </w:tcPr>
          <w:p>
            <w:pPr>
              <w:spacing w:after="0"/>
              <w:rPr>
                <w:sz w:val="21"/>
                <w:szCs w:val="21"/>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22,356</w:t>
            </w:r>
          </w:p>
        </w:tc>
        <w:tc>
          <w:tcPr>
            <w:tcW w:w="140" w:type="dxa"/>
            <w:vAlign w:val="bottom"/>
            <w:shd w:val="clear" w:color="auto" w:fill="E9E9E9"/>
          </w:tcPr>
          <w:p>
            <w:pPr>
              <w:spacing w:after="0"/>
              <w:rPr>
                <w:sz w:val="21"/>
                <w:szCs w:val="21"/>
                <w:color w:val="auto"/>
              </w:rPr>
            </w:pPr>
          </w:p>
        </w:tc>
        <w:tc>
          <w:tcPr>
            <w:tcW w:w="280" w:type="dxa"/>
            <w:vAlign w:val="bottom"/>
            <w:tcBorders>
              <w:bottom w:val="single" w:sz="8" w:color="auto"/>
            </w:tcBorders>
            <w:shd w:val="clear" w:color="auto" w:fill="E9E9E9"/>
          </w:tcPr>
          <w:p>
            <w:pPr>
              <w:spacing w:after="0"/>
              <w:rPr>
                <w:sz w:val="21"/>
                <w:szCs w:val="21"/>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21,909</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Basic EPS</w:t>
            </w: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340" w:type="dxa"/>
            <w:vAlign w:val="bottom"/>
            <w:tcBorders>
              <w:bottom w:val="single" w:sz="8" w:color="E9E9E9"/>
            </w:tcBorders>
            <w:vMerge w:val="continue"/>
          </w:tcPr>
          <w:p>
            <w:pPr>
              <w:spacing w:after="0"/>
              <w:rPr>
                <w:sz w:val="22"/>
                <w:szCs w:val="22"/>
                <w:color w:val="auto"/>
              </w:rPr>
            </w:pPr>
          </w:p>
        </w:tc>
        <w:tc>
          <w:tcPr>
            <w:tcW w:w="80" w:type="dxa"/>
            <w:vAlign w:val="bottom"/>
            <w:tcBorders>
              <w:bottom w:val="single" w:sz="8" w:color="E9E9E9"/>
            </w:tcBorders>
            <w:vMerge w:val="continue"/>
          </w:tcPr>
          <w:p>
            <w:pPr>
              <w:spacing w:after="0"/>
              <w:rPr>
                <w:sz w:val="22"/>
                <w:szCs w:val="22"/>
                <w:color w:val="auto"/>
              </w:rPr>
            </w:pPr>
          </w:p>
        </w:tc>
        <w:tc>
          <w:tcPr>
            <w:tcW w:w="280" w:type="dxa"/>
            <w:vAlign w:val="bottom"/>
            <w:tcBorders>
              <w:bottom w:val="single" w:sz="8" w:color="auto"/>
            </w:tcBorders>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(0.11)</w:t>
            </w:r>
          </w:p>
        </w:tc>
        <w:tc>
          <w:tcPr>
            <w:tcW w:w="140" w:type="dxa"/>
            <w:vAlign w:val="bottom"/>
            <w:tcBorders>
              <w:bottom w:val="single" w:sz="8" w:color="E9E9E9"/>
            </w:tcBorders>
            <w:vMerge w:val="continue"/>
          </w:tcPr>
          <w:p>
            <w:pPr>
              <w:spacing w:after="0"/>
              <w:rPr>
                <w:sz w:val="22"/>
                <w:szCs w:val="22"/>
                <w:color w:val="auto"/>
              </w:rPr>
            </w:pPr>
          </w:p>
        </w:tc>
        <w:tc>
          <w:tcPr>
            <w:tcW w:w="280" w:type="dxa"/>
            <w:vAlign w:val="bottom"/>
            <w:tcBorders>
              <w:bottom w:val="single" w:sz="8" w:color="auto"/>
            </w:tcBorders>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0.17</w:t>
            </w:r>
          </w:p>
        </w:tc>
        <w:tc>
          <w:tcPr>
            <w:tcW w:w="0" w:type="dxa"/>
            <w:vAlign w:val="bottom"/>
          </w:tcPr>
          <w:p>
            <w:pPr>
              <w:spacing w:after="0"/>
              <w:rPr>
                <w:sz w:val="1"/>
                <w:szCs w:val="1"/>
                <w:color w:val="auto"/>
              </w:rPr>
            </w:pPr>
          </w:p>
        </w:tc>
      </w:tr>
      <w:tr>
        <w:trPr>
          <w:trHeight w:val="215"/>
        </w:trPr>
        <w:tc>
          <w:tcPr>
            <w:tcW w:w="6340" w:type="dxa"/>
            <w:vAlign w:val="bottom"/>
            <w:shd w:val="clear" w:color="auto" w:fill="E9E9E9"/>
          </w:tcPr>
          <w:p>
            <w:pPr>
              <w:ind w:left="200"/>
              <w:spacing w:after="0" w:line="215" w:lineRule="exact"/>
              <w:rPr>
                <w:sz w:val="20"/>
                <w:szCs w:val="20"/>
                <w:color w:val="auto"/>
              </w:rPr>
            </w:pPr>
            <w:r>
              <w:rPr>
                <w:rFonts w:ascii="Times New Roman" w:cs="Times New Roman" w:eastAsia="Times New Roman" w:hAnsi="Times New Roman"/>
                <w:sz w:val="20"/>
                <w:szCs w:val="20"/>
                <w:color w:val="auto"/>
              </w:rPr>
              <w:t>Diluted EPS</w:t>
            </w:r>
          </w:p>
        </w:tc>
        <w:tc>
          <w:tcPr>
            <w:tcW w:w="80" w:type="dxa"/>
            <w:vAlign w:val="bottom"/>
            <w:shd w:val="clear" w:color="auto" w:fill="E9E9E9"/>
          </w:tcPr>
          <w:p>
            <w:pPr>
              <w:spacing w:after="0"/>
              <w:rPr>
                <w:sz w:val="18"/>
                <w:szCs w:val="18"/>
                <w:color w:val="auto"/>
              </w:rPr>
            </w:pPr>
          </w:p>
        </w:tc>
        <w:tc>
          <w:tcPr>
            <w:tcW w:w="280" w:type="dxa"/>
            <w:vAlign w:val="bottom"/>
            <w:tcBorders>
              <w:bottom w:val="single" w:sz="8" w:color="auto"/>
            </w:tcBorders>
            <w:shd w:val="clear" w:color="auto" w:fill="E9E9E9"/>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9E9E9"/>
          </w:tcPr>
          <w:p>
            <w:pPr>
              <w:jc w:val="right"/>
              <w:spacing w:after="0" w:line="215" w:lineRule="exact"/>
              <w:rPr>
                <w:sz w:val="20"/>
                <w:szCs w:val="20"/>
                <w:color w:val="auto"/>
              </w:rPr>
            </w:pPr>
            <w:r>
              <w:rPr>
                <w:rFonts w:ascii="Times New Roman" w:cs="Times New Roman" w:eastAsia="Times New Roman" w:hAnsi="Times New Roman"/>
                <w:sz w:val="20"/>
                <w:szCs w:val="20"/>
                <w:color w:val="auto"/>
              </w:rPr>
              <w:t>(0.11)</w:t>
            </w:r>
          </w:p>
        </w:tc>
        <w:tc>
          <w:tcPr>
            <w:tcW w:w="140" w:type="dxa"/>
            <w:vAlign w:val="bottom"/>
            <w:shd w:val="clear" w:color="auto" w:fill="E9E9E9"/>
          </w:tcPr>
          <w:p>
            <w:pPr>
              <w:spacing w:after="0"/>
              <w:rPr>
                <w:sz w:val="18"/>
                <w:szCs w:val="18"/>
                <w:color w:val="auto"/>
              </w:rPr>
            </w:pPr>
          </w:p>
        </w:tc>
        <w:tc>
          <w:tcPr>
            <w:tcW w:w="280" w:type="dxa"/>
            <w:vAlign w:val="bottom"/>
            <w:tcBorders>
              <w:bottom w:val="single" w:sz="8" w:color="auto"/>
            </w:tcBorders>
            <w:shd w:val="clear" w:color="auto" w:fill="E9E9E9"/>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9E9E9"/>
          </w:tcPr>
          <w:p>
            <w:pPr>
              <w:jc w:val="right"/>
              <w:spacing w:after="0" w:line="215" w:lineRule="exact"/>
              <w:rPr>
                <w:sz w:val="20"/>
                <w:szCs w:val="20"/>
                <w:color w:val="auto"/>
              </w:rPr>
            </w:pPr>
            <w:r>
              <w:rPr>
                <w:rFonts w:ascii="Times New Roman" w:cs="Times New Roman" w:eastAsia="Times New Roman" w:hAnsi="Times New Roman"/>
                <w:sz w:val="20"/>
                <w:szCs w:val="20"/>
                <w:color w:val="auto"/>
              </w:rPr>
              <w:t>0.17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16" w:right="1440" w:bottom="175"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Note 10. Leases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 expenses recorded within the consolidated statements of operations are comprised as follows:</w:t>
      </w: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8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97"/>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60" w:type="dxa"/>
            <w:vAlign w:val="bottom"/>
          </w:tcPr>
          <w:p>
            <w:pPr>
              <w:spacing w:after="0"/>
              <w:rPr>
                <w:sz w:val="17"/>
                <w:szCs w:val="17"/>
                <w:color w:val="auto"/>
              </w:rPr>
            </w:pPr>
          </w:p>
        </w:tc>
      </w:tr>
      <w:tr>
        <w:trPr>
          <w:trHeight w:val="253"/>
        </w:trPr>
        <w:tc>
          <w:tcPr>
            <w:tcW w:w="386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2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December 29, 2023</w:t>
            </w:r>
          </w:p>
        </w:tc>
        <w:tc>
          <w:tcPr>
            <w:tcW w:w="180" w:type="dxa"/>
            <w:vAlign w:val="bottom"/>
            <w:tcBorders>
              <w:bottom w:val="single" w:sz="8" w:color="E9E9E9"/>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9E9E9"/>
            </w:tcBorders>
          </w:tcPr>
          <w:p>
            <w:pPr>
              <w:spacing w:after="0"/>
              <w:rPr>
                <w:sz w:val="22"/>
                <w:szCs w:val="22"/>
                <w:color w:val="auto"/>
              </w:rPr>
            </w:pPr>
          </w:p>
        </w:tc>
      </w:tr>
      <w:tr>
        <w:trPr>
          <w:trHeight w:val="220"/>
        </w:trPr>
        <w:tc>
          <w:tcPr>
            <w:tcW w:w="3860" w:type="dxa"/>
            <w:vAlign w:val="bottom"/>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Operating lease cost</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860" w:type="dxa"/>
            <w:vAlign w:val="bottom"/>
            <w:shd w:val="clear" w:color="auto" w:fill="E9E9E9"/>
          </w:tcPr>
          <w:p>
            <w:pPr>
              <w:spacing w:after="0"/>
              <w:rPr>
                <w:sz w:val="19"/>
                <w:szCs w:val="19"/>
                <w:color w:val="auto"/>
              </w:rPr>
            </w:pPr>
          </w:p>
        </w:tc>
        <w:tc>
          <w:tcPr>
            <w:tcW w:w="180" w:type="dxa"/>
            <w:vAlign w:val="bottom"/>
            <w:shd w:val="clear" w:color="auto" w:fill="E9E9E9"/>
          </w:tcPr>
          <w:p>
            <w:pPr>
              <w:spacing w:after="0"/>
              <w:rPr>
                <w:sz w:val="19"/>
                <w:szCs w:val="19"/>
                <w:color w:val="auto"/>
              </w:rPr>
            </w:pPr>
          </w:p>
        </w:tc>
        <w:tc>
          <w:tcPr>
            <w:tcW w:w="380" w:type="dxa"/>
            <w:vAlign w:val="bottom"/>
            <w:shd w:val="clear" w:color="auto" w:fill="E9E9E9"/>
          </w:tcPr>
          <w:p>
            <w:pPr>
              <w:spacing w:after="0"/>
              <w:rPr>
                <w:sz w:val="19"/>
                <w:szCs w:val="19"/>
                <w:color w:val="auto"/>
              </w:rPr>
            </w:pPr>
          </w:p>
        </w:tc>
        <w:tc>
          <w:tcPr>
            <w:tcW w:w="8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 of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11,351</w:t>
            </w:r>
          </w:p>
        </w:tc>
        <w:tc>
          <w:tcPr>
            <w:tcW w:w="180" w:type="dxa"/>
            <w:vAlign w:val="bottom"/>
          </w:tcPr>
          <w:p>
            <w:pPr>
              <w:spacing w:after="0"/>
              <w:rPr>
                <w:sz w:val="19"/>
                <w:szCs w:val="19"/>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10,267</w:t>
            </w:r>
          </w:p>
        </w:tc>
        <w:tc>
          <w:tcPr>
            <w:tcW w:w="60" w:type="dxa"/>
            <w:vAlign w:val="bottom"/>
          </w:tcPr>
          <w:p>
            <w:pPr>
              <w:spacing w:after="0"/>
              <w:rPr>
                <w:sz w:val="19"/>
                <w:szCs w:val="19"/>
                <w:color w:val="auto"/>
              </w:rPr>
            </w:pPr>
          </w:p>
        </w:tc>
      </w:tr>
      <w:tr>
        <w:trPr>
          <w:trHeight w:val="230"/>
        </w:trPr>
        <w:tc>
          <w:tcPr>
            <w:tcW w:w="386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1,210</w:t>
            </w:r>
          </w:p>
        </w:tc>
        <w:tc>
          <w:tcPr>
            <w:tcW w:w="180" w:type="dxa"/>
            <w:vAlign w:val="bottom"/>
            <w:shd w:val="clear" w:color="auto" w:fill="E9E9E9"/>
          </w:tcPr>
          <w:p>
            <w:pPr>
              <w:spacing w:after="0"/>
              <w:rPr>
                <w:sz w:val="19"/>
                <w:szCs w:val="19"/>
                <w:color w:val="auto"/>
              </w:rPr>
            </w:pPr>
          </w:p>
        </w:tc>
        <w:tc>
          <w:tcPr>
            <w:tcW w:w="380" w:type="dxa"/>
            <w:vAlign w:val="bottom"/>
            <w:shd w:val="clear" w:color="auto" w:fill="E9E9E9"/>
          </w:tcPr>
          <w:p>
            <w:pPr>
              <w:spacing w:after="0"/>
              <w:rPr>
                <w:sz w:val="19"/>
                <w:szCs w:val="19"/>
                <w:color w:val="auto"/>
              </w:rPr>
            </w:pPr>
          </w:p>
        </w:tc>
        <w:tc>
          <w:tcPr>
            <w:tcW w:w="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1,539</w:t>
            </w:r>
          </w:p>
        </w:tc>
        <w:tc>
          <w:tcPr>
            <w:tcW w:w="60" w:type="dxa"/>
            <w:vAlign w:val="bottom"/>
            <w:shd w:val="clear" w:color="auto" w:fill="E9E9E9"/>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 (all in cost of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86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80" w:type="dxa"/>
            <w:vAlign w:val="bottom"/>
            <w:shd w:val="clear" w:color="auto" w:fill="E9E9E9"/>
          </w:tcPr>
          <w:p>
            <w:pPr>
              <w:spacing w:after="0"/>
              <w:rPr>
                <w:sz w:val="19"/>
                <w:szCs w:val="19"/>
                <w:color w:val="auto"/>
              </w:rPr>
            </w:pPr>
          </w:p>
        </w:tc>
        <w:tc>
          <w:tcPr>
            <w:tcW w:w="380" w:type="dxa"/>
            <w:vAlign w:val="bottom"/>
            <w:shd w:val="clear" w:color="auto" w:fill="E9E9E9"/>
          </w:tcPr>
          <w:p>
            <w:pPr>
              <w:spacing w:after="0"/>
              <w:rPr>
                <w:sz w:val="19"/>
                <w:szCs w:val="19"/>
                <w:color w:val="auto"/>
              </w:rPr>
            </w:pPr>
          </w:p>
        </w:tc>
        <w:tc>
          <w:tcPr>
            <w:tcW w:w="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60" w:type="dxa"/>
            <w:vAlign w:val="bottom"/>
            <w:shd w:val="clear" w:color="auto" w:fill="E9E9E9"/>
          </w:tcPr>
          <w:p>
            <w:pPr>
              <w:spacing w:after="0"/>
              <w:rPr>
                <w:sz w:val="19"/>
                <w:szCs w:val="19"/>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19"/>
                <w:szCs w:val="19"/>
                <w:color w:val="auto"/>
              </w:rPr>
            </w:pPr>
          </w:p>
        </w:tc>
      </w:tr>
      <w:tr>
        <w:trPr>
          <w:trHeight w:val="230"/>
        </w:trPr>
        <w:tc>
          <w:tcPr>
            <w:tcW w:w="38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tcBorders>
              <w:bottom w:val="single" w:sz="8" w:color="auto"/>
            </w:tcBorders>
            <w:shd w:val="clear" w:color="auto" w:fill="E9E9E9"/>
          </w:tcPr>
          <w:p>
            <w:pPr>
              <w:spacing w:after="0"/>
              <w:rPr>
                <w:sz w:val="19"/>
                <w:szCs w:val="19"/>
                <w:color w:val="auto"/>
              </w:rPr>
            </w:pPr>
          </w:p>
        </w:tc>
        <w:tc>
          <w:tcPr>
            <w:tcW w:w="1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180" w:type="dxa"/>
            <w:vAlign w:val="bottom"/>
            <w:shd w:val="clear" w:color="auto" w:fill="E9E9E9"/>
          </w:tcPr>
          <w:p>
            <w:pPr>
              <w:spacing w:after="0"/>
              <w:rPr>
                <w:sz w:val="19"/>
                <w:szCs w:val="19"/>
                <w:color w:val="auto"/>
              </w:rPr>
            </w:pPr>
          </w:p>
        </w:tc>
        <w:tc>
          <w:tcPr>
            <w:tcW w:w="380" w:type="dxa"/>
            <w:vAlign w:val="bottom"/>
            <w:tcBorders>
              <w:bottom w:val="single" w:sz="8" w:color="auto"/>
            </w:tcBorders>
            <w:shd w:val="clear" w:color="auto" w:fill="E9E9E9"/>
          </w:tcPr>
          <w:p>
            <w:pPr>
              <w:spacing w:after="0"/>
              <w:rPr>
                <w:sz w:val="19"/>
                <w:szCs w:val="19"/>
                <w:color w:val="auto"/>
              </w:rPr>
            </w:pPr>
          </w:p>
        </w:tc>
        <w:tc>
          <w:tcPr>
            <w:tcW w:w="8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60" w:type="dxa"/>
            <w:vAlign w:val="bottom"/>
            <w:shd w:val="clear" w:color="auto" w:fill="E9E9E9"/>
          </w:tcPr>
          <w:p>
            <w:pPr>
              <w:spacing w:after="0"/>
              <w:rPr>
                <w:sz w:val="19"/>
                <w:szCs w:val="19"/>
                <w:color w:val="auto"/>
              </w:rPr>
            </w:pPr>
          </w:p>
        </w:tc>
      </w:tr>
      <w:tr>
        <w:trPr>
          <w:trHeight w:val="220"/>
        </w:trPr>
        <w:tc>
          <w:tcPr>
            <w:tcW w:w="3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lease cost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13,487</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12,522</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consolidated balance sheets information related to leases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5"/>
          </w:tcPr>
          <w:p>
            <w:pPr>
              <w:ind w:left="700"/>
              <w:spacing w:after="0"/>
              <w:rPr>
                <w:sz w:val="20"/>
                <w:szCs w:val="20"/>
                <w:color w:val="auto"/>
              </w:rPr>
            </w:pPr>
            <w:r>
              <w:rPr>
                <w:rFonts w:ascii="Times New Roman" w:cs="Times New Roman" w:eastAsia="Times New Roman" w:hAnsi="Times New Roman"/>
                <w:sz w:val="20"/>
                <w:szCs w:val="20"/>
                <w:b w:val="1"/>
                <w:bCs w:val="1"/>
                <w:color w:val="auto"/>
              </w:rPr>
              <w:t>BalanceLSheet</w:t>
            </w:r>
          </w:p>
        </w:tc>
        <w:tc>
          <w:tcPr>
            <w:tcW w:w="20" w:type="dxa"/>
            <w:vAlign w:val="bottom"/>
          </w:tcPr>
          <w:p>
            <w:pPr>
              <w:spacing w:after="0"/>
              <w:rPr>
                <w:sz w:val="19"/>
                <w:szCs w:val="19"/>
                <w:color w:val="auto"/>
              </w:rPr>
            </w:pP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29,</w:t>
            </w:r>
          </w:p>
        </w:tc>
        <w:tc>
          <w:tcPr>
            <w:tcW w:w="20" w:type="dxa"/>
            <w:vAlign w:val="bottom"/>
          </w:tcPr>
          <w:p>
            <w:pPr>
              <w:spacing w:after="0"/>
              <w:rPr>
                <w:sz w:val="19"/>
                <w:szCs w:val="19"/>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0" w:type="dxa"/>
            <w:vAlign w:val="bottom"/>
          </w:tcPr>
          <w:p>
            <w:pPr>
              <w:spacing w:after="0"/>
              <w:rPr>
                <w:sz w:val="1"/>
                <w:szCs w:val="1"/>
                <w:color w:val="auto"/>
              </w:rPr>
            </w:pPr>
          </w:p>
        </w:tc>
      </w:tr>
      <w:tr>
        <w:trPr>
          <w:trHeight w:val="253"/>
        </w:trPr>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00" w:type="dxa"/>
            <w:vAlign w:val="bottom"/>
          </w:tcPr>
          <w:p>
            <w:pPr>
              <w:spacing w:after="0"/>
              <w:rPr>
                <w:sz w:val="22"/>
                <w:szCs w:val="22"/>
                <w:color w:val="auto"/>
              </w:rPr>
            </w:pPr>
          </w:p>
        </w:tc>
        <w:tc>
          <w:tcPr>
            <w:tcW w:w="2700" w:type="dxa"/>
            <w:vAlign w:val="bottom"/>
            <w:gridSpan w:val="5"/>
          </w:tcPr>
          <w:p>
            <w:pPr>
              <w:ind w:left="70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w w:val="94"/>
              </w:rPr>
              <w:t>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640" w:type="dxa"/>
            <w:vAlign w:val="bottom"/>
            <w:tcBorders>
              <w:top w:val="single" w:sz="8" w:color="auto"/>
            </w:tcBorders>
            <w:gridSpan w:val="2"/>
            <w:shd w:val="clear" w:color="auto" w:fill="E9E9E9"/>
          </w:tcPr>
          <w:p>
            <w:pPr>
              <w:spacing w:after="0" w:line="220" w:lineRule="exact"/>
              <w:rPr>
                <w:sz w:val="20"/>
                <w:szCs w:val="20"/>
                <w:color w:val="auto"/>
              </w:rPr>
            </w:pPr>
            <w:r>
              <w:rPr>
                <w:rFonts w:ascii="Times New Roman" w:cs="Times New Roman" w:eastAsia="Times New Roman" w:hAnsi="Times New Roman"/>
                <w:sz w:val="20"/>
                <w:szCs w:val="20"/>
                <w:i w:val="1"/>
                <w:iCs w:val="1"/>
                <w:color w:val="auto"/>
              </w:rPr>
              <w:t>Assets:</w:t>
            </w:r>
          </w:p>
        </w:tc>
        <w:tc>
          <w:tcPr>
            <w:tcW w:w="100" w:type="dxa"/>
            <w:vAlign w:val="bottom"/>
            <w:tcBorders>
              <w:top w:val="single" w:sz="8" w:color="E9E9E9"/>
            </w:tcBorders>
            <w:shd w:val="clear" w:color="auto" w:fill="E9E9E9"/>
          </w:tcPr>
          <w:p>
            <w:pPr>
              <w:spacing w:after="0"/>
              <w:rPr>
                <w:sz w:val="19"/>
                <w:szCs w:val="19"/>
                <w:color w:val="auto"/>
              </w:rPr>
            </w:pPr>
          </w:p>
        </w:tc>
        <w:tc>
          <w:tcPr>
            <w:tcW w:w="1060" w:type="dxa"/>
            <w:vAlign w:val="bottom"/>
            <w:tcBorders>
              <w:top w:val="single" w:sz="8" w:color="auto"/>
            </w:tcBorders>
            <w:shd w:val="clear" w:color="auto" w:fill="E9E9E9"/>
          </w:tcPr>
          <w:p>
            <w:pPr>
              <w:spacing w:after="0"/>
              <w:rPr>
                <w:sz w:val="19"/>
                <w:szCs w:val="19"/>
                <w:color w:val="auto"/>
              </w:rPr>
            </w:pPr>
          </w:p>
        </w:tc>
        <w:tc>
          <w:tcPr>
            <w:tcW w:w="80" w:type="dxa"/>
            <w:vAlign w:val="bottom"/>
            <w:tcBorders>
              <w:top w:val="single" w:sz="8" w:color="auto"/>
            </w:tcBorders>
            <w:shd w:val="clear" w:color="auto" w:fill="E9E9E9"/>
          </w:tcPr>
          <w:p>
            <w:pPr>
              <w:spacing w:after="0"/>
              <w:rPr>
                <w:sz w:val="19"/>
                <w:szCs w:val="19"/>
                <w:color w:val="auto"/>
              </w:rPr>
            </w:pPr>
          </w:p>
        </w:tc>
        <w:tc>
          <w:tcPr>
            <w:tcW w:w="1420" w:type="dxa"/>
            <w:vAlign w:val="bottom"/>
            <w:tcBorders>
              <w:top w:val="single" w:sz="8" w:color="auto"/>
            </w:tcBorders>
            <w:shd w:val="clear" w:color="auto" w:fill="E9E9E9"/>
          </w:tcPr>
          <w:p>
            <w:pPr>
              <w:spacing w:after="0"/>
              <w:rPr>
                <w:sz w:val="19"/>
                <w:szCs w:val="19"/>
                <w:color w:val="auto"/>
              </w:rPr>
            </w:pPr>
          </w:p>
        </w:tc>
        <w:tc>
          <w:tcPr>
            <w:tcW w:w="20" w:type="dxa"/>
            <w:vAlign w:val="bottom"/>
            <w:tcBorders>
              <w:top w:val="single" w:sz="8" w:color="E9E9E9"/>
            </w:tcBorders>
            <w:shd w:val="clear" w:color="auto" w:fill="E9E9E9"/>
          </w:tcPr>
          <w:p>
            <w:pPr>
              <w:spacing w:after="0"/>
              <w:rPr>
                <w:sz w:val="19"/>
                <w:szCs w:val="19"/>
                <w:color w:val="auto"/>
              </w:rPr>
            </w:pPr>
          </w:p>
        </w:tc>
        <w:tc>
          <w:tcPr>
            <w:tcW w:w="12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auto"/>
            </w:tcBorders>
            <w:shd w:val="clear" w:color="auto" w:fill="E9E9E9"/>
          </w:tcPr>
          <w:p>
            <w:pPr>
              <w:spacing w:after="0"/>
              <w:rPr>
                <w:sz w:val="19"/>
                <w:szCs w:val="19"/>
                <w:color w:val="auto"/>
              </w:rPr>
            </w:pPr>
          </w:p>
        </w:tc>
        <w:tc>
          <w:tcPr>
            <w:tcW w:w="100" w:type="dxa"/>
            <w:vAlign w:val="bottom"/>
            <w:tcBorders>
              <w:top w:val="single" w:sz="8" w:color="auto"/>
            </w:tcBorders>
            <w:shd w:val="clear" w:color="auto" w:fill="E9E9E9"/>
          </w:tcPr>
          <w:p>
            <w:pPr>
              <w:spacing w:after="0"/>
              <w:rPr>
                <w:sz w:val="19"/>
                <w:szCs w:val="19"/>
                <w:color w:val="auto"/>
              </w:rPr>
            </w:pPr>
          </w:p>
        </w:tc>
        <w:tc>
          <w:tcPr>
            <w:tcW w:w="260" w:type="dxa"/>
            <w:vAlign w:val="bottom"/>
            <w:tcBorders>
              <w:top w:val="single" w:sz="8" w:color="auto"/>
            </w:tcBorders>
            <w:shd w:val="clear" w:color="auto" w:fill="E9E9E9"/>
          </w:tcPr>
          <w:p>
            <w:pPr>
              <w:spacing w:after="0"/>
              <w:rPr>
                <w:sz w:val="19"/>
                <w:szCs w:val="19"/>
                <w:color w:val="auto"/>
              </w:rPr>
            </w:pPr>
          </w:p>
        </w:tc>
        <w:tc>
          <w:tcPr>
            <w:tcW w:w="240" w:type="dxa"/>
            <w:vAlign w:val="bottom"/>
            <w:tcBorders>
              <w:top w:val="single" w:sz="8" w:color="auto"/>
            </w:tcBorders>
            <w:shd w:val="clear" w:color="auto" w:fill="E9E9E9"/>
          </w:tcPr>
          <w:p>
            <w:pPr>
              <w:spacing w:after="0"/>
              <w:rPr>
                <w:sz w:val="19"/>
                <w:szCs w:val="19"/>
                <w:color w:val="auto"/>
              </w:rPr>
            </w:pPr>
          </w:p>
        </w:tc>
        <w:tc>
          <w:tcPr>
            <w:tcW w:w="700" w:type="dxa"/>
            <w:vAlign w:val="bottom"/>
            <w:tcBorders>
              <w:top w:val="single" w:sz="8" w:color="auto"/>
            </w:tcBorders>
            <w:shd w:val="clear" w:color="auto" w:fill="E9E9E9"/>
          </w:tcPr>
          <w:p>
            <w:pPr>
              <w:spacing w:after="0"/>
              <w:rPr>
                <w:sz w:val="19"/>
                <w:szCs w:val="19"/>
                <w:color w:val="auto"/>
              </w:rPr>
            </w:pPr>
          </w:p>
        </w:tc>
        <w:tc>
          <w:tcPr>
            <w:tcW w:w="240" w:type="dxa"/>
            <w:vAlign w:val="bottom"/>
            <w:tcBorders>
              <w:top w:val="single" w:sz="8" w:color="E9E9E9"/>
            </w:tcBorders>
            <w:shd w:val="clear" w:color="auto" w:fill="E9E9E9"/>
          </w:tcPr>
          <w:p>
            <w:pPr>
              <w:spacing w:after="0"/>
              <w:rPr>
                <w:sz w:val="19"/>
                <w:szCs w:val="19"/>
                <w:color w:val="auto"/>
              </w:rPr>
            </w:pPr>
          </w:p>
        </w:tc>
        <w:tc>
          <w:tcPr>
            <w:tcW w:w="20" w:type="dxa"/>
            <w:vAlign w:val="bottom"/>
            <w:tcBorders>
              <w:top w:val="single" w:sz="8" w:color="auto"/>
            </w:tcBorders>
            <w:shd w:val="clear" w:color="auto" w:fill="E9E9E9"/>
          </w:tcPr>
          <w:p>
            <w:pPr>
              <w:spacing w:after="0"/>
              <w:rPr>
                <w:sz w:val="19"/>
                <w:szCs w:val="19"/>
                <w:color w:val="auto"/>
              </w:rPr>
            </w:pPr>
          </w:p>
        </w:tc>
        <w:tc>
          <w:tcPr>
            <w:tcW w:w="240" w:type="dxa"/>
            <w:vAlign w:val="bottom"/>
            <w:tcBorders>
              <w:top w:val="single" w:sz="8" w:color="auto"/>
            </w:tcBorders>
            <w:shd w:val="clear" w:color="auto" w:fill="E9E9E9"/>
          </w:tcPr>
          <w:p>
            <w:pPr>
              <w:spacing w:after="0"/>
              <w:rPr>
                <w:sz w:val="19"/>
                <w:szCs w:val="19"/>
                <w:color w:val="auto"/>
              </w:rPr>
            </w:pPr>
          </w:p>
        </w:tc>
        <w:tc>
          <w:tcPr>
            <w:tcW w:w="160" w:type="dxa"/>
            <w:vAlign w:val="bottom"/>
            <w:tcBorders>
              <w:top w:val="single" w:sz="8" w:color="auto"/>
            </w:tcBorders>
            <w:shd w:val="clear" w:color="auto" w:fill="E9E9E9"/>
          </w:tcPr>
          <w:p>
            <w:pPr>
              <w:spacing w:after="0"/>
              <w:rPr>
                <w:sz w:val="19"/>
                <w:szCs w:val="19"/>
                <w:color w:val="auto"/>
              </w:rPr>
            </w:pPr>
          </w:p>
        </w:tc>
        <w:tc>
          <w:tcPr>
            <w:tcW w:w="840" w:type="dxa"/>
            <w:vAlign w:val="bottom"/>
            <w:tcBorders>
              <w:top w:val="single" w:sz="8" w:color="auto"/>
            </w:tcBorders>
            <w:shd w:val="clear" w:color="auto" w:fill="E9E9E9"/>
          </w:tcPr>
          <w:p>
            <w:pPr>
              <w:spacing w:after="0"/>
              <w:rPr>
                <w:sz w:val="19"/>
                <w:szCs w:val="19"/>
                <w:color w:val="auto"/>
              </w:rPr>
            </w:pPr>
          </w:p>
        </w:tc>
        <w:tc>
          <w:tcPr>
            <w:tcW w:w="100" w:type="dxa"/>
            <w:vAlign w:val="bottom"/>
            <w:tcBorders>
              <w:top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assets</w:t>
            </w:r>
          </w:p>
        </w:tc>
        <w:tc>
          <w:tcPr>
            <w:tcW w:w="100" w:type="dxa"/>
            <w:vAlign w:val="bottom"/>
          </w:tcPr>
          <w:p>
            <w:pPr>
              <w:spacing w:after="0"/>
              <w:rPr>
                <w:sz w:val="19"/>
                <w:szCs w:val="19"/>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Lease right-of-use assets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23,568</w:t>
            </w:r>
          </w:p>
        </w:tc>
        <w:tc>
          <w:tcPr>
            <w:tcW w:w="24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Finance lease assets</w:t>
            </w:r>
          </w:p>
        </w:tc>
        <w:tc>
          <w:tcPr>
            <w:tcW w:w="100" w:type="dxa"/>
            <w:vAlign w:val="bottom"/>
            <w:shd w:val="clear" w:color="auto" w:fill="E9E9E9"/>
          </w:tcPr>
          <w:p>
            <w:pPr>
              <w:spacing w:after="0"/>
              <w:rPr>
                <w:sz w:val="19"/>
                <w:szCs w:val="19"/>
                <w:color w:val="auto"/>
              </w:rPr>
            </w:pPr>
          </w:p>
        </w:tc>
        <w:tc>
          <w:tcPr>
            <w:tcW w:w="2560" w:type="dxa"/>
            <w:vAlign w:val="bottom"/>
            <w:gridSpan w:val="3"/>
            <w:shd w:val="clear" w:color="auto" w:fill="E9E9E9"/>
          </w:tcPr>
          <w:p>
            <w:pPr>
              <w:spacing w:after="0"/>
              <w:rPr>
                <w:sz w:val="20"/>
                <w:szCs w:val="20"/>
                <w:color w:val="auto"/>
              </w:rPr>
            </w:pPr>
            <w:r>
              <w:rPr>
                <w:rFonts w:ascii="Times New Roman" w:cs="Times New Roman" w:eastAsia="Times New Roman" w:hAnsi="Times New Roman"/>
                <w:sz w:val="20"/>
                <w:szCs w:val="20"/>
                <w:color w:val="auto"/>
              </w:rPr>
              <w:t>Lease right-of-use assets</w:t>
            </w:r>
          </w:p>
        </w:tc>
        <w:tc>
          <w:tcPr>
            <w:tcW w:w="20" w:type="dxa"/>
            <w:vAlign w:val="bottom"/>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00" w:type="dxa"/>
            <w:vAlign w:val="bottom"/>
            <w:tcBorders>
              <w:bottom w:val="single" w:sz="8" w:color="auto"/>
            </w:tcBorders>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240" w:type="dxa"/>
            <w:vAlign w:val="bottom"/>
            <w:shd w:val="clear" w:color="auto" w:fill="E9E9E9"/>
          </w:tcPr>
          <w:p>
            <w:pPr>
              <w:spacing w:after="0"/>
              <w:rPr>
                <w:sz w:val="19"/>
                <w:szCs w:val="19"/>
                <w:color w:val="auto"/>
              </w:rPr>
            </w:pPr>
          </w:p>
        </w:tc>
        <w:tc>
          <w:tcPr>
            <w:tcW w:w="20" w:type="dxa"/>
            <w:vAlign w:val="bottom"/>
            <w:tcBorders>
              <w:bottom w:val="single" w:sz="8" w:color="auto"/>
            </w:tcBorders>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spacing w:after="0"/>
              <w:rPr>
                <w:sz w:val="19"/>
                <w:szCs w:val="19"/>
                <w:color w:val="auto"/>
              </w:rPr>
            </w:pP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64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lease assets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23,855</w:t>
            </w:r>
          </w:p>
        </w:tc>
        <w:tc>
          <w:tcPr>
            <w:tcW w:w="240" w:type="dxa"/>
            <w:vAlign w:val="bottom"/>
          </w:tcPr>
          <w:p>
            <w:pPr>
              <w:spacing w:after="0"/>
              <w:rPr>
                <w:sz w:val="22"/>
                <w:szCs w:val="22"/>
                <w:color w:val="auto"/>
              </w:rPr>
            </w:pPr>
          </w:p>
        </w:tc>
        <w:tc>
          <w:tcPr>
            <w:tcW w:w="26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22,690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940" w:type="dxa"/>
            <w:vAlign w:val="bottom"/>
            <w:tcBorders>
              <w:top w:val="single" w:sz="8" w:color="E9E9E9"/>
            </w:tcBorders>
            <w:shd w:val="clear" w:color="auto" w:fill="E9E9E9"/>
          </w:tcPr>
          <w:p>
            <w:pPr>
              <w:spacing w:after="0"/>
              <w:rPr>
                <w:sz w:val="18"/>
                <w:szCs w:val="18"/>
                <w:color w:val="auto"/>
              </w:rPr>
            </w:pPr>
          </w:p>
        </w:tc>
        <w:tc>
          <w:tcPr>
            <w:tcW w:w="270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106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1420" w:type="dxa"/>
            <w:vAlign w:val="bottom"/>
            <w:tcBorders>
              <w:top w:val="single" w:sz="8" w:color="E9E9E9"/>
            </w:tcBorders>
            <w:shd w:val="clear" w:color="auto" w:fill="E9E9E9"/>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auto"/>
            </w:tcBorders>
            <w:shd w:val="clear" w:color="auto" w:fill="E9E9E9"/>
          </w:tcPr>
          <w:p>
            <w:pPr>
              <w:spacing w:after="0"/>
              <w:rPr>
                <w:sz w:val="18"/>
                <w:szCs w:val="18"/>
                <w:color w:val="auto"/>
              </w:rPr>
            </w:pPr>
          </w:p>
        </w:tc>
        <w:tc>
          <w:tcPr>
            <w:tcW w:w="240" w:type="dxa"/>
            <w:vAlign w:val="bottom"/>
            <w:tcBorders>
              <w:top w:val="single" w:sz="8" w:color="auto"/>
            </w:tcBorders>
            <w:shd w:val="clear" w:color="auto" w:fill="E9E9E9"/>
          </w:tcPr>
          <w:p>
            <w:pPr>
              <w:spacing w:after="0"/>
              <w:rPr>
                <w:sz w:val="18"/>
                <w:szCs w:val="18"/>
                <w:color w:val="auto"/>
              </w:rPr>
            </w:pPr>
          </w:p>
        </w:tc>
        <w:tc>
          <w:tcPr>
            <w:tcW w:w="700" w:type="dxa"/>
            <w:vAlign w:val="bottom"/>
            <w:tcBorders>
              <w:top w:val="single" w:sz="8" w:color="auto"/>
            </w:tcBorders>
            <w:shd w:val="clear" w:color="auto" w:fill="E9E9E9"/>
          </w:tcPr>
          <w:p>
            <w:pPr>
              <w:spacing w:after="0"/>
              <w:rPr>
                <w:sz w:val="18"/>
                <w:szCs w:val="18"/>
                <w:color w:val="auto"/>
              </w:rPr>
            </w:pPr>
          </w:p>
        </w:tc>
        <w:tc>
          <w:tcPr>
            <w:tcW w:w="240" w:type="dxa"/>
            <w:vAlign w:val="bottom"/>
            <w:tcBorders>
              <w:top w:val="single" w:sz="8" w:color="E9E9E9"/>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240" w:type="dxa"/>
            <w:vAlign w:val="bottom"/>
            <w:tcBorders>
              <w:top w:val="single" w:sz="8" w:color="auto"/>
            </w:tcBorders>
            <w:shd w:val="clear" w:color="auto" w:fill="E9E9E9"/>
          </w:tcPr>
          <w:p>
            <w:pPr>
              <w:spacing w:after="0"/>
              <w:rPr>
                <w:sz w:val="18"/>
                <w:szCs w:val="18"/>
                <w:color w:val="auto"/>
              </w:rPr>
            </w:pPr>
          </w:p>
        </w:tc>
        <w:tc>
          <w:tcPr>
            <w:tcW w:w="160" w:type="dxa"/>
            <w:vAlign w:val="bottom"/>
            <w:tcBorders>
              <w:top w:val="single" w:sz="8" w:color="auto"/>
            </w:tcBorders>
            <w:shd w:val="clear" w:color="auto" w:fill="E9E9E9"/>
          </w:tcPr>
          <w:p>
            <w:pPr>
              <w:spacing w:after="0"/>
              <w:rPr>
                <w:sz w:val="18"/>
                <w:szCs w:val="18"/>
                <w:color w:val="auto"/>
              </w:rPr>
            </w:pPr>
          </w:p>
        </w:tc>
        <w:tc>
          <w:tcPr>
            <w:tcW w:w="84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i w:val="1"/>
                <w:iCs w:val="1"/>
                <w:color w:val="auto"/>
              </w:rPr>
              <w:t>Liabilities:</w:t>
            </w:r>
          </w:p>
        </w:tc>
        <w:tc>
          <w:tcPr>
            <w:tcW w:w="100" w:type="dxa"/>
            <w:vAlign w:val="bottom"/>
            <w:shd w:val="clear" w:color="auto" w:fill="E9E9E9"/>
          </w:tcPr>
          <w:p>
            <w:pPr>
              <w:spacing w:after="0"/>
              <w:rPr>
                <w:sz w:val="19"/>
                <w:szCs w:val="19"/>
                <w:color w:val="auto"/>
              </w:rPr>
            </w:pPr>
          </w:p>
        </w:tc>
        <w:tc>
          <w:tcPr>
            <w:tcW w:w="2560" w:type="dxa"/>
            <w:vAlign w:val="bottom"/>
            <w:gridSpan w:val="3"/>
            <w:shd w:val="clear" w:color="auto" w:fill="E9E9E9"/>
          </w:tcPr>
          <w:p>
            <w:pPr>
              <w:ind w:left="1000"/>
              <w:spacing w:after="0"/>
              <w:rPr>
                <w:sz w:val="20"/>
                <w:szCs w:val="20"/>
                <w:color w:val="auto"/>
              </w:rPr>
            </w:pPr>
            <w:r>
              <w:rPr>
                <w:rFonts w:ascii="Times New Roman" w:cs="Times New Roman" w:eastAsia="Times New Roman" w:hAnsi="Times New Roman"/>
                <w:sz w:val="20"/>
                <w:szCs w:val="20"/>
                <w:color w:val="auto"/>
              </w:rPr>
              <w:t>VV</w:t>
            </w:r>
          </w:p>
        </w:tc>
        <w:tc>
          <w:tcPr>
            <w:tcW w:w="20" w:type="dxa"/>
            <w:vAlign w:val="bottom"/>
            <w:vMerge w:val="continue"/>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w:t>
            </w:r>
          </w:p>
        </w:tc>
        <w:tc>
          <w:tcPr>
            <w:tcW w:w="100" w:type="dxa"/>
            <w:vAlign w:val="bottom"/>
          </w:tcPr>
          <w:p>
            <w:pPr>
              <w:spacing w:after="0"/>
              <w:rPr>
                <w:sz w:val="19"/>
                <w:szCs w:val="19"/>
                <w:color w:val="auto"/>
              </w:rPr>
            </w:pPr>
          </w:p>
        </w:tc>
        <w:tc>
          <w:tcPr>
            <w:tcW w:w="256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VV</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00" w:type="dxa"/>
            <w:vAlign w:val="bottom"/>
            <w:shd w:val="clear" w:color="auto" w:fill="E9E9E9"/>
          </w:tcPr>
          <w:p>
            <w:pPr>
              <w:spacing w:after="0"/>
              <w:rPr>
                <w:sz w:val="19"/>
                <w:szCs w:val="19"/>
                <w:color w:val="auto"/>
              </w:rPr>
            </w:pPr>
          </w:p>
        </w:tc>
        <w:tc>
          <w:tcPr>
            <w:tcW w:w="2560" w:type="dxa"/>
            <w:vAlign w:val="bottom"/>
            <w:gridSpan w:val="3"/>
            <w:shd w:val="clear" w:color="auto" w:fill="E9E9E9"/>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 w:type="dxa"/>
            <w:vAlign w:val="bottom"/>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8,247</w:t>
            </w:r>
          </w:p>
        </w:tc>
        <w:tc>
          <w:tcPr>
            <w:tcW w:w="240" w:type="dxa"/>
            <w:vAlign w:val="bottom"/>
            <w:shd w:val="clear" w:color="auto" w:fill="E9E9E9"/>
          </w:tcPr>
          <w:p>
            <w:pPr>
              <w:spacing w:after="0"/>
              <w:rPr>
                <w:sz w:val="19"/>
                <w:szCs w:val="19"/>
                <w:color w:val="auto"/>
              </w:rPr>
            </w:pPr>
          </w:p>
        </w:tc>
        <w:tc>
          <w:tcPr>
            <w:tcW w:w="26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9E9E9"/>
          </w:tcPr>
          <w:p>
            <w:pPr>
              <w:spacing w:after="0"/>
              <w:rPr>
                <w:sz w:val="19"/>
                <w:szCs w:val="19"/>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7,767</w:t>
            </w: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E9E9E9"/>
            </w:tcBorders>
            <w:gridSpan w:val="2"/>
          </w:tcPr>
          <w:p>
            <w:pPr>
              <w:ind w:left="20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100" w:type="dxa"/>
            <w:vAlign w:val="bottom"/>
            <w:tcBorders>
              <w:bottom w:val="single" w:sz="8" w:color="E9E9E9"/>
            </w:tcBorders>
          </w:tcPr>
          <w:p>
            <w:pPr>
              <w:spacing w:after="0"/>
              <w:rPr>
                <w:sz w:val="19"/>
                <w:szCs w:val="19"/>
                <w:color w:val="auto"/>
              </w:rPr>
            </w:pPr>
          </w:p>
        </w:tc>
        <w:tc>
          <w:tcPr>
            <w:tcW w:w="2560" w:type="dxa"/>
            <w:vAlign w:val="bottom"/>
            <w:tcBorders>
              <w:bottom w:val="single" w:sz="8" w:color="E9E9E9"/>
            </w:tcBorders>
            <w:gridSpan w:val="3"/>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 w:type="dxa"/>
            <w:vAlign w:val="bottom"/>
          </w:tcPr>
          <w:p>
            <w:pPr>
              <w:spacing w:after="0"/>
              <w:rPr>
                <w:sz w:val="19"/>
                <w:szCs w:val="19"/>
                <w:color w:val="auto"/>
              </w:rPr>
            </w:pPr>
          </w:p>
        </w:tc>
        <w:tc>
          <w:tcPr>
            <w:tcW w:w="12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40" w:type="dxa"/>
            <w:vAlign w:val="bottom"/>
            <w:tcBorders>
              <w:bottom w:val="single" w:sz="8" w:color="E9E9E9"/>
            </w:tcBorders>
          </w:tcPr>
          <w:p>
            <w:pPr>
              <w:spacing w:after="0"/>
              <w:rPr>
                <w:sz w:val="19"/>
                <w:szCs w:val="19"/>
                <w:color w:val="auto"/>
              </w:rPr>
            </w:pPr>
          </w:p>
        </w:tc>
        <w:tc>
          <w:tcPr>
            <w:tcW w:w="20" w:type="dxa"/>
            <w:vAlign w:val="bottom"/>
            <w:tcBorders>
              <w:bottom w:val="single" w:sz="8" w:color="E9E9E9"/>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10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40" w:type="dxa"/>
            <w:vAlign w:val="bottom"/>
            <w:gridSpan w:val="2"/>
            <w:shd w:val="clear" w:color="auto" w:fill="E9E9E9"/>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lease liabilities</w:t>
            </w:r>
          </w:p>
        </w:tc>
        <w:tc>
          <w:tcPr>
            <w:tcW w:w="10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1500" w:type="dxa"/>
            <w:vAlign w:val="bottom"/>
            <w:gridSpan w:val="2"/>
            <w:shd w:val="clear" w:color="auto" w:fill="E9E9E9"/>
          </w:tcPr>
          <w:p>
            <w:pPr>
              <w:ind w:left="40"/>
              <w:spacing w:after="0" w:line="220" w:lineRule="exact"/>
              <w:rPr>
                <w:sz w:val="20"/>
                <w:szCs w:val="20"/>
                <w:color w:val="auto"/>
              </w:rPr>
            </w:pPr>
            <w:r>
              <w:rPr>
                <w:rFonts w:ascii="Times New Roman" w:cs="Times New Roman" w:eastAsia="Times New Roman" w:hAnsi="Times New Roman"/>
                <w:sz w:val="20"/>
                <w:szCs w:val="20"/>
                <w:color w:val="auto"/>
              </w:rPr>
              <w:t>VV</w:t>
            </w:r>
          </w:p>
        </w:tc>
        <w:tc>
          <w:tcPr>
            <w:tcW w:w="20" w:type="dxa"/>
            <w:vAlign w:val="bottom"/>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3"/>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8,564</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shd w:val="clear" w:color="auto" w:fill="E9E9E9"/>
          </w:tcPr>
          <w:p>
            <w:pPr>
              <w:spacing w:after="0"/>
              <w:rPr>
                <w:sz w:val="19"/>
                <w:szCs w:val="19"/>
                <w:color w:val="auto"/>
              </w:rPr>
            </w:pPr>
          </w:p>
        </w:tc>
        <w:tc>
          <w:tcPr>
            <w:tcW w:w="84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8,080</w:t>
            </w: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Non-current:</w:t>
            </w:r>
          </w:p>
        </w:tc>
        <w:tc>
          <w:tcPr>
            <w:tcW w:w="100" w:type="dxa"/>
            <w:vAlign w:val="bottom"/>
            <w:shd w:val="clear" w:color="auto" w:fill="E9E9E9"/>
          </w:tcPr>
          <w:p>
            <w:pPr>
              <w:spacing w:after="0"/>
              <w:rPr>
                <w:sz w:val="19"/>
                <w:szCs w:val="19"/>
                <w:color w:val="auto"/>
              </w:rPr>
            </w:pPr>
          </w:p>
        </w:tc>
        <w:tc>
          <w:tcPr>
            <w:tcW w:w="2560" w:type="dxa"/>
            <w:vAlign w:val="bottom"/>
            <w:gridSpan w:val="3"/>
            <w:shd w:val="clear" w:color="auto" w:fill="E9E9E9"/>
          </w:tcPr>
          <w:p>
            <w:pPr>
              <w:ind w:left="1000"/>
              <w:spacing w:after="0"/>
              <w:rPr>
                <w:sz w:val="20"/>
                <w:szCs w:val="20"/>
                <w:color w:val="auto"/>
              </w:rPr>
            </w:pPr>
            <w:r>
              <w:rPr>
                <w:rFonts w:ascii="Times New Roman" w:cs="Times New Roman" w:eastAsia="Times New Roman" w:hAnsi="Times New Roman"/>
                <w:sz w:val="20"/>
                <w:szCs w:val="20"/>
                <w:color w:val="auto"/>
              </w:rPr>
              <w:t>VV</w:t>
            </w:r>
          </w:p>
        </w:tc>
        <w:tc>
          <w:tcPr>
            <w:tcW w:w="20" w:type="dxa"/>
            <w:vAlign w:val="bottom"/>
            <w:vMerge w:val="continue"/>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84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00" w:type="dxa"/>
            <w:vAlign w:val="bottom"/>
          </w:tcPr>
          <w:p>
            <w:pPr>
              <w:spacing w:after="0"/>
              <w:rPr>
                <w:sz w:val="19"/>
                <w:szCs w:val="19"/>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Lease liabilities, non-current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15,017</w:t>
            </w:r>
          </w:p>
        </w:tc>
        <w:tc>
          <w:tcPr>
            <w:tcW w:w="24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100" w:type="dxa"/>
            <w:vAlign w:val="bottom"/>
            <w:shd w:val="clear" w:color="auto" w:fill="E9E9E9"/>
          </w:tcPr>
          <w:p>
            <w:pPr>
              <w:spacing w:after="0"/>
              <w:rPr>
                <w:sz w:val="19"/>
                <w:szCs w:val="19"/>
                <w:color w:val="auto"/>
              </w:rPr>
            </w:pPr>
          </w:p>
        </w:tc>
        <w:tc>
          <w:tcPr>
            <w:tcW w:w="2560" w:type="dxa"/>
            <w:vAlign w:val="bottom"/>
            <w:gridSpan w:val="3"/>
            <w:shd w:val="clear" w:color="auto" w:fill="E9E9E9"/>
          </w:tcPr>
          <w:p>
            <w:pPr>
              <w:spacing w:after="0"/>
              <w:rPr>
                <w:sz w:val="20"/>
                <w:szCs w:val="20"/>
                <w:color w:val="auto"/>
              </w:rPr>
            </w:pPr>
            <w:r>
              <w:rPr>
                <w:rFonts w:ascii="Times New Roman" w:cs="Times New Roman" w:eastAsia="Times New Roman" w:hAnsi="Times New Roman"/>
                <w:sz w:val="20"/>
                <w:szCs w:val="20"/>
                <w:color w:val="auto"/>
              </w:rPr>
              <w:t>Lease liabilities, non-current</w:t>
            </w:r>
          </w:p>
        </w:tc>
        <w:tc>
          <w:tcPr>
            <w:tcW w:w="20" w:type="dxa"/>
            <w:vAlign w:val="bottom"/>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tcBorders>
              <w:bottom w:val="single" w:sz="8" w:color="auto"/>
            </w:tcBorders>
            <w:shd w:val="clear" w:color="auto" w:fill="E9E9E9"/>
          </w:tcPr>
          <w:p>
            <w:pPr>
              <w:spacing w:after="0"/>
              <w:rPr>
                <w:sz w:val="19"/>
                <w:szCs w:val="19"/>
                <w:color w:val="auto"/>
              </w:rPr>
            </w:pPr>
          </w:p>
        </w:tc>
        <w:tc>
          <w:tcPr>
            <w:tcW w:w="1200" w:type="dxa"/>
            <w:vAlign w:val="bottom"/>
            <w:tcBorders>
              <w:bottom w:val="single" w:sz="8" w:color="auto"/>
            </w:tcBorders>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4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240" w:type="dxa"/>
            <w:vAlign w:val="bottom"/>
            <w:tcBorders>
              <w:bottom w:val="single" w:sz="8" w:color="auto"/>
            </w:tcBorders>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spacing w:after="0"/>
              <w:rPr>
                <w:sz w:val="19"/>
                <w:szCs w:val="19"/>
                <w:color w:val="auto"/>
              </w:rPr>
            </w:pP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4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non-current lease liabilities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15,045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800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Weighted average remaining lease term information related to leases is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left="260"/>
              <w:spacing w:after="0"/>
              <w:rPr>
                <w:sz w:val="20"/>
                <w:szCs w:val="20"/>
                <w:color w:val="auto"/>
              </w:rPr>
            </w:pPr>
            <w:r>
              <w:rPr>
                <w:rFonts w:ascii="Times New Roman" w:cs="Times New Roman" w:eastAsia="Times New Roman" w:hAnsi="Times New Roman"/>
                <w:sz w:val="20"/>
                <w:szCs w:val="20"/>
                <w:b w:val="1"/>
                <w:bCs w:val="1"/>
                <w:color w:val="auto"/>
                <w:w w:val="99"/>
              </w:rPr>
              <w:t>December 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4"/>
          </w:tcPr>
          <w:p>
            <w:pPr>
              <w:ind w:left="9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3860" w:type="dxa"/>
            <w:vAlign w:val="bottom"/>
            <w:tcBorders>
              <w:top w:val="single" w:sz="8" w:color="E9E9E9"/>
            </w:tcBorders>
            <w:gridSpan w:val="3"/>
            <w:shd w:val="clear" w:color="auto" w:fill="E9E9E9"/>
          </w:tcPr>
          <w:p>
            <w:pPr>
              <w:spacing w:after="0" w:line="201" w:lineRule="exact"/>
              <w:rPr>
                <w:sz w:val="20"/>
                <w:szCs w:val="20"/>
                <w:color w:val="auto"/>
              </w:rPr>
            </w:pPr>
            <w:r>
              <w:rPr>
                <w:rFonts w:ascii="Times New Roman" w:cs="Times New Roman" w:eastAsia="Times New Roman" w:hAnsi="Times New Roman"/>
                <w:sz w:val="20"/>
                <w:szCs w:val="20"/>
                <w:color w:val="auto"/>
              </w:rPr>
              <w:t>Weighted average remaining lease term (in</w:t>
            </w:r>
          </w:p>
        </w:tc>
        <w:tc>
          <w:tcPr>
            <w:tcW w:w="80" w:type="dxa"/>
            <w:vAlign w:val="bottom"/>
            <w:tcBorders>
              <w:top w:val="single" w:sz="8" w:color="E9E9E9"/>
            </w:tcBorders>
            <w:shd w:val="clear" w:color="auto" w:fill="E9E9E9"/>
          </w:tcPr>
          <w:p>
            <w:pPr>
              <w:spacing w:after="0"/>
              <w:rPr>
                <w:sz w:val="17"/>
                <w:szCs w:val="17"/>
                <w:color w:val="auto"/>
              </w:rPr>
            </w:pPr>
          </w:p>
        </w:tc>
        <w:tc>
          <w:tcPr>
            <w:tcW w:w="1420" w:type="dxa"/>
            <w:vAlign w:val="bottom"/>
            <w:tcBorders>
              <w:top w:val="single" w:sz="8" w:color="auto"/>
            </w:tcBorders>
            <w:shd w:val="clear" w:color="auto" w:fill="E9E9E9"/>
          </w:tcPr>
          <w:p>
            <w:pPr>
              <w:spacing w:after="0"/>
              <w:rPr>
                <w:sz w:val="17"/>
                <w:szCs w:val="17"/>
                <w:color w:val="auto"/>
              </w:rPr>
            </w:pPr>
          </w:p>
        </w:tc>
        <w:tc>
          <w:tcPr>
            <w:tcW w:w="20" w:type="dxa"/>
            <w:vAlign w:val="bottom"/>
            <w:tcBorders>
              <w:top w:val="single" w:sz="8" w:color="auto"/>
            </w:tcBorders>
            <w:shd w:val="clear" w:color="auto" w:fill="E9E9E9"/>
          </w:tcPr>
          <w:p>
            <w:pPr>
              <w:spacing w:after="0"/>
              <w:rPr>
                <w:sz w:val="17"/>
                <w:szCs w:val="17"/>
                <w:color w:val="auto"/>
              </w:rPr>
            </w:pPr>
          </w:p>
        </w:tc>
        <w:tc>
          <w:tcPr>
            <w:tcW w:w="120" w:type="dxa"/>
            <w:vAlign w:val="bottom"/>
            <w:tcBorders>
              <w:top w:val="single" w:sz="8" w:color="auto"/>
            </w:tcBorders>
            <w:shd w:val="clear" w:color="auto" w:fill="E9E9E9"/>
          </w:tcPr>
          <w:p>
            <w:pPr>
              <w:spacing w:after="0"/>
              <w:rPr>
                <w:sz w:val="17"/>
                <w:szCs w:val="17"/>
                <w:color w:val="auto"/>
              </w:rPr>
            </w:pPr>
          </w:p>
        </w:tc>
        <w:tc>
          <w:tcPr>
            <w:tcW w:w="20" w:type="dxa"/>
            <w:vAlign w:val="bottom"/>
            <w:tcBorders>
              <w:top w:val="single" w:sz="8" w:color="auto"/>
            </w:tcBorders>
            <w:shd w:val="clear" w:color="auto" w:fill="E9E9E9"/>
          </w:tcPr>
          <w:p>
            <w:pPr>
              <w:spacing w:after="0"/>
              <w:rPr>
                <w:sz w:val="17"/>
                <w:szCs w:val="17"/>
                <w:color w:val="auto"/>
              </w:rPr>
            </w:pPr>
          </w:p>
        </w:tc>
        <w:tc>
          <w:tcPr>
            <w:tcW w:w="100" w:type="dxa"/>
            <w:vAlign w:val="bottom"/>
            <w:tcBorders>
              <w:top w:val="single" w:sz="8" w:color="auto"/>
            </w:tcBorders>
            <w:shd w:val="clear" w:color="auto" w:fill="E9E9E9"/>
          </w:tcPr>
          <w:p>
            <w:pPr>
              <w:spacing w:after="0"/>
              <w:rPr>
                <w:sz w:val="17"/>
                <w:szCs w:val="17"/>
                <w:color w:val="auto"/>
              </w:rPr>
            </w:pPr>
          </w:p>
        </w:tc>
        <w:tc>
          <w:tcPr>
            <w:tcW w:w="260" w:type="dxa"/>
            <w:vAlign w:val="bottom"/>
            <w:tcBorders>
              <w:top w:val="single" w:sz="8" w:color="auto"/>
            </w:tcBorders>
            <w:shd w:val="clear" w:color="auto" w:fill="E9E9E9"/>
          </w:tcPr>
          <w:p>
            <w:pPr>
              <w:spacing w:after="0"/>
              <w:rPr>
                <w:sz w:val="17"/>
                <w:szCs w:val="17"/>
                <w:color w:val="auto"/>
              </w:rPr>
            </w:pPr>
          </w:p>
        </w:tc>
        <w:tc>
          <w:tcPr>
            <w:tcW w:w="240" w:type="dxa"/>
            <w:vAlign w:val="bottom"/>
            <w:tcBorders>
              <w:top w:val="single" w:sz="8" w:color="E9E9E9"/>
            </w:tcBorders>
            <w:shd w:val="clear" w:color="auto" w:fill="E9E9E9"/>
          </w:tcPr>
          <w:p>
            <w:pPr>
              <w:spacing w:after="0"/>
              <w:rPr>
                <w:sz w:val="17"/>
                <w:szCs w:val="17"/>
                <w:color w:val="auto"/>
              </w:rPr>
            </w:pPr>
          </w:p>
        </w:tc>
        <w:tc>
          <w:tcPr>
            <w:tcW w:w="700" w:type="dxa"/>
            <w:vAlign w:val="bottom"/>
            <w:tcBorders>
              <w:top w:val="single" w:sz="8" w:color="auto"/>
            </w:tcBorders>
            <w:shd w:val="clear" w:color="auto" w:fill="E9E9E9"/>
          </w:tcPr>
          <w:p>
            <w:pPr>
              <w:spacing w:after="0"/>
              <w:rPr>
                <w:sz w:val="17"/>
                <w:szCs w:val="17"/>
                <w:color w:val="auto"/>
              </w:rPr>
            </w:pPr>
          </w:p>
        </w:tc>
        <w:tc>
          <w:tcPr>
            <w:tcW w:w="240" w:type="dxa"/>
            <w:vAlign w:val="bottom"/>
            <w:tcBorders>
              <w:top w:val="single" w:sz="8" w:color="auto"/>
            </w:tcBorders>
            <w:shd w:val="clear" w:color="auto" w:fill="E9E9E9"/>
          </w:tcPr>
          <w:p>
            <w:pPr>
              <w:spacing w:after="0"/>
              <w:rPr>
                <w:sz w:val="17"/>
                <w:szCs w:val="17"/>
                <w:color w:val="auto"/>
              </w:rPr>
            </w:pPr>
          </w:p>
        </w:tc>
        <w:tc>
          <w:tcPr>
            <w:tcW w:w="20" w:type="dxa"/>
            <w:vAlign w:val="bottom"/>
            <w:tcBorders>
              <w:top w:val="single" w:sz="8" w:color="auto"/>
            </w:tcBorders>
            <w:shd w:val="clear" w:color="auto" w:fill="E9E9E9"/>
          </w:tcPr>
          <w:p>
            <w:pPr>
              <w:spacing w:after="0"/>
              <w:rPr>
                <w:sz w:val="17"/>
                <w:szCs w:val="17"/>
                <w:color w:val="auto"/>
              </w:rPr>
            </w:pPr>
          </w:p>
        </w:tc>
        <w:tc>
          <w:tcPr>
            <w:tcW w:w="240" w:type="dxa"/>
            <w:vAlign w:val="bottom"/>
            <w:tcBorders>
              <w:top w:val="single" w:sz="8" w:color="auto"/>
            </w:tcBorders>
            <w:shd w:val="clear" w:color="auto" w:fill="E9E9E9"/>
          </w:tcPr>
          <w:p>
            <w:pPr>
              <w:spacing w:after="0"/>
              <w:rPr>
                <w:sz w:val="17"/>
                <w:szCs w:val="17"/>
                <w:color w:val="auto"/>
              </w:rPr>
            </w:pPr>
          </w:p>
        </w:tc>
        <w:tc>
          <w:tcPr>
            <w:tcW w:w="160" w:type="dxa"/>
            <w:vAlign w:val="bottom"/>
            <w:tcBorders>
              <w:top w:val="single" w:sz="8" w:color="E9E9E9"/>
            </w:tcBorders>
            <w:shd w:val="clear" w:color="auto" w:fill="E9E9E9"/>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270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years):</w:t>
            </w:r>
          </w:p>
        </w:tc>
        <w:tc>
          <w:tcPr>
            <w:tcW w:w="100" w:type="dxa"/>
            <w:vAlign w:val="bottom"/>
            <w:shd w:val="clear" w:color="auto" w:fill="E9E9E9"/>
          </w:tcPr>
          <w:p>
            <w:pPr>
              <w:spacing w:after="0"/>
              <w:rPr>
                <w:sz w:val="21"/>
                <w:szCs w:val="21"/>
                <w:color w:val="auto"/>
              </w:rPr>
            </w:pPr>
          </w:p>
        </w:tc>
        <w:tc>
          <w:tcPr>
            <w:tcW w:w="10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4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w w:val="95"/>
              </w:rPr>
              <w:t>3.4</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5"/>
              </w:rPr>
              <w:t>4.1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27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Finance leases</w:t>
            </w:r>
          </w:p>
        </w:tc>
        <w:tc>
          <w:tcPr>
            <w:tcW w:w="10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4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26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w w:val="95"/>
              </w:rPr>
              <w:t>1.1</w:t>
            </w:r>
          </w:p>
        </w:tc>
        <w:tc>
          <w:tcPr>
            <w:tcW w:w="24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26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w w:val="95"/>
              </w:rPr>
              <w:t>2.1</w:t>
            </w:r>
          </w:p>
        </w:tc>
        <w:tc>
          <w:tcPr>
            <w:tcW w:w="160" w:type="dxa"/>
            <w:vAlign w:val="bottom"/>
            <w:shd w:val="clear" w:color="auto" w:fill="E9E9E9"/>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27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100" w:type="dxa"/>
            <w:vAlign w:val="bottom"/>
            <w:shd w:val="clear" w:color="auto" w:fill="E9E9E9"/>
          </w:tcPr>
          <w:p>
            <w:pPr>
              <w:spacing w:after="0"/>
              <w:rPr>
                <w:sz w:val="19"/>
                <w:szCs w:val="19"/>
                <w:color w:val="auto"/>
              </w:rPr>
            </w:pPr>
          </w:p>
        </w:tc>
        <w:tc>
          <w:tcPr>
            <w:tcW w:w="106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4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20" w:type="dxa"/>
            <w:vAlign w:val="bottom"/>
            <w:shd w:val="clear" w:color="auto" w:fill="E9E9E9"/>
          </w:tcPr>
          <w:p>
            <w:pPr>
              <w:spacing w:after="0"/>
              <w:rPr>
                <w:sz w:val="19"/>
                <w:szCs w:val="19"/>
                <w:color w:val="auto"/>
              </w:rPr>
            </w:pPr>
          </w:p>
        </w:tc>
        <w:tc>
          <w:tcPr>
            <w:tcW w:w="100" w:type="dxa"/>
            <w:vAlign w:val="bottom"/>
            <w:shd w:val="clear" w:color="auto" w:fill="E9E9E9"/>
          </w:tcPr>
          <w:p>
            <w:pPr>
              <w:spacing w:after="0"/>
              <w:rPr>
                <w:sz w:val="19"/>
                <w:szCs w:val="19"/>
                <w:color w:val="auto"/>
              </w:rPr>
            </w:pPr>
          </w:p>
        </w:tc>
        <w:tc>
          <w:tcPr>
            <w:tcW w:w="50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6.3%</w:t>
            </w:r>
          </w:p>
        </w:tc>
        <w:tc>
          <w:tcPr>
            <w:tcW w:w="700" w:type="dxa"/>
            <w:vAlign w:val="bottom"/>
            <w:shd w:val="clear" w:color="auto" w:fill="E9E9E9"/>
          </w:tcPr>
          <w:p>
            <w:pPr>
              <w:spacing w:after="0"/>
              <w:rPr>
                <w:sz w:val="19"/>
                <w:szCs w:val="19"/>
                <w:color w:val="auto"/>
              </w:rPr>
            </w:pPr>
          </w:p>
        </w:tc>
        <w:tc>
          <w:tcPr>
            <w:tcW w:w="240" w:type="dxa"/>
            <w:vAlign w:val="bottom"/>
            <w:shd w:val="clear" w:color="auto" w:fill="E9E9E9"/>
          </w:tcPr>
          <w:p>
            <w:pPr>
              <w:spacing w:after="0"/>
              <w:rPr>
                <w:sz w:val="19"/>
                <w:szCs w:val="19"/>
                <w:color w:val="auto"/>
              </w:rPr>
            </w:pPr>
          </w:p>
        </w:tc>
        <w:tc>
          <w:tcPr>
            <w:tcW w:w="420" w:type="dxa"/>
            <w:vAlign w:val="bottom"/>
            <w:gridSpan w:val="3"/>
            <w:shd w:val="clear" w:color="auto" w:fill="E9E9E9"/>
          </w:tcPr>
          <w:p>
            <w:pPr>
              <w:spacing w:after="0"/>
              <w:rPr>
                <w:sz w:val="20"/>
                <w:szCs w:val="20"/>
                <w:color w:val="auto"/>
              </w:rPr>
            </w:pPr>
            <w:r>
              <w:rPr>
                <w:rFonts w:ascii="Times New Roman" w:cs="Times New Roman" w:eastAsia="Times New Roman" w:hAnsi="Times New Roman"/>
                <w:sz w:val="20"/>
                <w:szCs w:val="20"/>
                <w:color w:val="auto"/>
                <w:w w:val="95"/>
              </w:rPr>
              <w:t>5.3%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940" w:type="dxa"/>
            <w:vAlign w:val="bottom"/>
          </w:tcPr>
          <w:p>
            <w:pPr>
              <w:spacing w:after="0"/>
              <w:rPr>
                <w:sz w:val="23"/>
                <w:szCs w:val="23"/>
                <w:color w:val="auto"/>
              </w:rPr>
            </w:pPr>
          </w:p>
        </w:tc>
        <w:tc>
          <w:tcPr>
            <w:tcW w:w="2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Finance leases</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9.9%</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5"/>
              </w:rPr>
              <w:t>3.2%</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16" w:right="1440" w:bottom="175"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6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100" w:type="dxa"/>
            <w:vAlign w:val="bottom"/>
          </w:tcPr>
          <w:p>
            <w:pPr>
              <w:spacing w:after="0"/>
              <w:rPr>
                <w:sz w:val="22"/>
                <w:szCs w:val="22"/>
                <w:color w:val="auto"/>
              </w:rPr>
            </w:pPr>
          </w:p>
        </w:tc>
      </w:tr>
      <w:tr>
        <w:trPr>
          <w:trHeight w:val="197"/>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auto"/>
              </w:rPr>
              <w:t>December 29,</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80"/>
              <w:spacing w:after="0" w:line="197" w:lineRule="exact"/>
              <w:rPr>
                <w:sz w:val="20"/>
                <w:szCs w:val="20"/>
                <w:color w:val="auto"/>
              </w:rPr>
            </w:pPr>
            <w:r>
              <w:rPr>
                <w:rFonts w:ascii="Times New Roman" w:cs="Times New Roman" w:eastAsia="Times New Roman" w:hAnsi="Times New Roman"/>
                <w:sz w:val="20"/>
                <w:szCs w:val="20"/>
                <w:b w:val="1"/>
                <w:bCs w:val="1"/>
                <w:color w:val="auto"/>
              </w:rPr>
              <w:t>December 30,</w:t>
            </w:r>
          </w:p>
        </w:tc>
        <w:tc>
          <w:tcPr>
            <w:tcW w:w="100" w:type="dxa"/>
            <w:vAlign w:val="bottom"/>
          </w:tcPr>
          <w:p>
            <w:pPr>
              <w:spacing w:after="0"/>
              <w:rPr>
                <w:sz w:val="17"/>
                <w:szCs w:val="17"/>
                <w:color w:val="auto"/>
              </w:rPr>
            </w:pPr>
          </w:p>
        </w:tc>
      </w:tr>
      <w:tr>
        <w:trPr>
          <w:trHeight w:val="253"/>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Pr>
          <w:p>
            <w:pPr>
              <w:spacing w:after="0"/>
              <w:rPr>
                <w:sz w:val="22"/>
                <w:szCs w:val="22"/>
                <w:color w:val="auto"/>
              </w:rPr>
            </w:pPr>
          </w:p>
        </w:tc>
      </w:tr>
      <w:tr>
        <w:trPr>
          <w:trHeight w:val="201"/>
        </w:trPr>
        <w:tc>
          <w:tcPr>
            <w:tcW w:w="4840" w:type="dxa"/>
            <w:vAlign w:val="bottom"/>
            <w:tcBorders>
              <w:top w:val="single" w:sz="8" w:color="E9E9E9"/>
            </w:tcBorders>
            <w:shd w:val="clear" w:color="auto" w:fill="E9E9E9"/>
          </w:tcPr>
          <w:p>
            <w:pPr>
              <w:spacing w:after="0" w:line="201" w:lineRule="exact"/>
              <w:rPr>
                <w:sz w:val="20"/>
                <w:szCs w:val="20"/>
                <w:color w:val="auto"/>
              </w:rPr>
            </w:pPr>
            <w:r>
              <w:rPr>
                <w:rFonts w:ascii="Times New Roman" w:cs="Times New Roman" w:eastAsia="Times New Roman" w:hAnsi="Times New Roman"/>
                <w:sz w:val="20"/>
                <w:szCs w:val="20"/>
                <w:color w:val="auto"/>
                <w:w w:val="99"/>
              </w:rPr>
              <w:t>Cash paid for amounts included in the measurement of lease</w:t>
            </w:r>
          </w:p>
        </w:tc>
        <w:tc>
          <w:tcPr>
            <w:tcW w:w="160" w:type="dxa"/>
            <w:vAlign w:val="bottom"/>
            <w:tcBorders>
              <w:top w:val="single" w:sz="8" w:color="E9E9E9"/>
            </w:tcBorders>
            <w:shd w:val="clear" w:color="auto" w:fill="E9E9E9"/>
          </w:tcPr>
          <w:p>
            <w:pPr>
              <w:spacing w:after="0"/>
              <w:rPr>
                <w:sz w:val="17"/>
                <w:szCs w:val="17"/>
                <w:color w:val="auto"/>
              </w:rPr>
            </w:pPr>
          </w:p>
        </w:tc>
        <w:tc>
          <w:tcPr>
            <w:tcW w:w="1860" w:type="dxa"/>
            <w:vAlign w:val="bottom"/>
            <w:tcBorders>
              <w:top w:val="single" w:sz="8" w:color="auto"/>
            </w:tcBorders>
            <w:shd w:val="clear" w:color="auto" w:fill="E9E9E9"/>
          </w:tcPr>
          <w:p>
            <w:pPr>
              <w:spacing w:after="0"/>
              <w:rPr>
                <w:sz w:val="17"/>
                <w:szCs w:val="17"/>
                <w:color w:val="auto"/>
              </w:rPr>
            </w:pPr>
          </w:p>
        </w:tc>
        <w:tc>
          <w:tcPr>
            <w:tcW w:w="600" w:type="dxa"/>
            <w:vAlign w:val="bottom"/>
            <w:tcBorders>
              <w:top w:val="single" w:sz="8" w:color="auto"/>
            </w:tcBorders>
            <w:shd w:val="clear" w:color="auto" w:fill="E9E9E9"/>
          </w:tcPr>
          <w:p>
            <w:pPr>
              <w:spacing w:after="0"/>
              <w:rPr>
                <w:sz w:val="17"/>
                <w:szCs w:val="17"/>
                <w:color w:val="auto"/>
              </w:rPr>
            </w:pPr>
          </w:p>
        </w:tc>
        <w:tc>
          <w:tcPr>
            <w:tcW w:w="260" w:type="dxa"/>
            <w:vAlign w:val="bottom"/>
            <w:tcBorders>
              <w:top w:val="single" w:sz="8" w:color="E9E9E9"/>
            </w:tcBorders>
            <w:shd w:val="clear" w:color="auto" w:fill="E9E9E9"/>
          </w:tcPr>
          <w:p>
            <w:pPr>
              <w:spacing w:after="0"/>
              <w:rPr>
                <w:sz w:val="17"/>
                <w:szCs w:val="17"/>
                <w:color w:val="auto"/>
              </w:rPr>
            </w:pPr>
          </w:p>
        </w:tc>
        <w:tc>
          <w:tcPr>
            <w:tcW w:w="140" w:type="dxa"/>
            <w:vAlign w:val="bottom"/>
            <w:tcBorders>
              <w:top w:val="single" w:sz="8" w:color="auto"/>
            </w:tcBorders>
            <w:shd w:val="clear" w:color="auto" w:fill="E9E9E9"/>
          </w:tcPr>
          <w:p>
            <w:pPr>
              <w:spacing w:after="0"/>
              <w:rPr>
                <w:sz w:val="17"/>
                <w:szCs w:val="17"/>
                <w:color w:val="auto"/>
              </w:rPr>
            </w:pPr>
          </w:p>
        </w:tc>
        <w:tc>
          <w:tcPr>
            <w:tcW w:w="1400" w:type="dxa"/>
            <w:vAlign w:val="bottom"/>
            <w:tcBorders>
              <w:top w:val="single" w:sz="8" w:color="auto"/>
            </w:tcBorders>
            <w:shd w:val="clear" w:color="auto" w:fill="E9E9E9"/>
          </w:tcPr>
          <w:p>
            <w:pPr>
              <w:spacing w:after="0"/>
              <w:rPr>
                <w:sz w:val="17"/>
                <w:szCs w:val="17"/>
                <w:color w:val="auto"/>
              </w:rPr>
            </w:pPr>
          </w:p>
        </w:tc>
        <w:tc>
          <w:tcPr>
            <w:tcW w:w="100" w:type="dxa"/>
            <w:vAlign w:val="bottom"/>
            <w:tcBorders>
              <w:top w:val="single" w:sz="8" w:color="E9E9E9"/>
            </w:tcBorders>
            <w:shd w:val="clear" w:color="auto" w:fill="E9E9E9"/>
          </w:tcPr>
          <w:p>
            <w:pPr>
              <w:spacing w:after="0"/>
              <w:rPr>
                <w:sz w:val="17"/>
                <w:szCs w:val="17"/>
                <w:color w:val="auto"/>
              </w:rPr>
            </w:pPr>
          </w:p>
        </w:tc>
      </w:tr>
      <w:tr>
        <w:trPr>
          <w:trHeight w:val="249"/>
        </w:trPr>
        <w:tc>
          <w:tcPr>
            <w:tcW w:w="484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60" w:type="dxa"/>
            <w:vAlign w:val="bottom"/>
            <w:shd w:val="clear" w:color="auto" w:fill="E9E9E9"/>
          </w:tcPr>
          <w:p>
            <w:pPr>
              <w:spacing w:after="0"/>
              <w:rPr>
                <w:sz w:val="21"/>
                <w:szCs w:val="21"/>
                <w:color w:val="auto"/>
              </w:rPr>
            </w:pPr>
          </w:p>
        </w:tc>
        <w:tc>
          <w:tcPr>
            <w:tcW w:w="186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4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r>
      <w:tr>
        <w:trPr>
          <w:trHeight w:val="230"/>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60" w:type="dxa"/>
            <w:vAlign w:val="bottom"/>
          </w:tcPr>
          <w:p>
            <w:pPr>
              <w:spacing w:after="0"/>
              <w:rPr>
                <w:sz w:val="19"/>
                <w:szCs w:val="19"/>
                <w:color w:val="auto"/>
              </w:rPr>
            </w:pPr>
          </w:p>
        </w:tc>
        <w:tc>
          <w:tcPr>
            <w:tcW w:w="1860" w:type="dxa"/>
            <w:vAlign w:val="bottom"/>
          </w:tcPr>
          <w:p>
            <w:pPr>
              <w:jc w:val="right"/>
              <w:ind w:right="1660"/>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11,852</w:t>
            </w:r>
          </w:p>
        </w:tc>
        <w:tc>
          <w:tcPr>
            <w:tcW w:w="100" w:type="dxa"/>
            <w:vAlign w:val="bottom"/>
          </w:tcPr>
          <w:p>
            <w:pPr>
              <w:spacing w:after="0"/>
              <w:rPr>
                <w:sz w:val="19"/>
                <w:szCs w:val="19"/>
                <w:color w:val="auto"/>
              </w:rPr>
            </w:pPr>
          </w:p>
        </w:tc>
      </w:tr>
      <w:tr>
        <w:trPr>
          <w:trHeight w:val="230"/>
        </w:trPr>
        <w:tc>
          <w:tcPr>
            <w:tcW w:w="484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2020" w:type="dxa"/>
            <w:vAlign w:val="bottom"/>
            <w:gridSpan w:val="2"/>
            <w:shd w:val="clear" w:color="auto" w:fill="E9E9E9"/>
          </w:tcPr>
          <w:p>
            <w:pPr>
              <w:jc w:val="right"/>
              <w:ind w:right="16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4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100" w:type="dxa"/>
            <w:vAlign w:val="bottom"/>
            <w:shd w:val="clear" w:color="auto" w:fill="E9E9E9"/>
          </w:tcPr>
          <w:p>
            <w:pPr>
              <w:spacing w:after="0"/>
              <w:rPr>
                <w:sz w:val="19"/>
                <w:szCs w:val="19"/>
                <w:color w:val="auto"/>
              </w:rPr>
            </w:pPr>
          </w:p>
        </w:tc>
      </w:tr>
      <w:tr>
        <w:trPr>
          <w:trHeight w:val="211"/>
        </w:trPr>
        <w:tc>
          <w:tcPr>
            <w:tcW w:w="484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Right-of-use assets obtained in exchange for new</w:t>
            </w: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6"/>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2020" w:type="dxa"/>
            <w:vAlign w:val="bottom"/>
            <w:gridSpan w:val="2"/>
          </w:tcPr>
          <w:p>
            <w:pPr>
              <w:jc w:val="right"/>
              <w:ind w:right="16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11,300</w:t>
            </w:r>
          </w:p>
        </w:tc>
        <w:tc>
          <w:tcPr>
            <w:tcW w:w="100" w:type="dxa"/>
            <w:vAlign w:val="bottom"/>
          </w:tcPr>
          <w:p>
            <w:pPr>
              <w:spacing w:after="0"/>
              <w:rPr>
                <w:sz w:val="23"/>
                <w:szCs w:val="23"/>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remaining lease payments under both the Company’s operating and finance leases are as follows:</w:t>
      </w: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Financing</w:t>
            </w:r>
          </w:p>
        </w:tc>
      </w:tr>
      <w:tr>
        <w:trPr>
          <w:trHeight w:val="253"/>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Year</w:t>
            </w:r>
          </w:p>
        </w:tc>
        <w:tc>
          <w:tcPr>
            <w:tcW w:w="120" w:type="dxa"/>
            <w:vAlign w:val="bottom"/>
          </w:tcPr>
          <w:p>
            <w:pPr>
              <w:spacing w:after="0"/>
              <w:rPr>
                <w:sz w:val="22"/>
                <w:szCs w:val="22"/>
                <w:color w:val="auto"/>
              </w:rPr>
            </w:pP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Leases</w:t>
            </w:r>
          </w:p>
        </w:tc>
      </w:tr>
      <w:tr>
        <w:trPr>
          <w:trHeight w:val="220"/>
        </w:trPr>
        <w:tc>
          <w:tcPr>
            <w:tcW w:w="42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(In</w:t>
            </w:r>
          </w:p>
        </w:tc>
        <w:tc>
          <w:tcPr>
            <w:tcW w:w="344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i w:val="1"/>
                <w:iCs w:val="1"/>
                <w:color w:val="auto"/>
              </w:rPr>
              <w:t>thousands)</w:t>
            </w: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0"/>
        </w:trPr>
        <w:tc>
          <w:tcPr>
            <w:tcW w:w="42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w w:val="99"/>
              </w:rPr>
              <w:t>2024</w:t>
            </w:r>
          </w:p>
        </w:tc>
        <w:tc>
          <w:tcPr>
            <w:tcW w:w="3440" w:type="dxa"/>
            <w:vAlign w:val="bottom"/>
            <w:shd w:val="clear" w:color="auto" w:fill="E9E9E9"/>
          </w:tcPr>
          <w:p>
            <w:pPr>
              <w:spacing w:after="0"/>
              <w:rPr>
                <w:sz w:val="19"/>
                <w:szCs w:val="19"/>
                <w:color w:val="auto"/>
              </w:rPr>
            </w:pPr>
          </w:p>
        </w:tc>
        <w:tc>
          <w:tcPr>
            <w:tcW w:w="1560" w:type="dxa"/>
            <w:vAlign w:val="bottom"/>
            <w:gridSpan w:val="2"/>
            <w:shd w:val="clear" w:color="auto" w:fill="E9E9E9"/>
          </w:tcPr>
          <w:p>
            <w:pPr>
              <w:jc w:val="right"/>
              <w:ind w:right="12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9,421</w:t>
            </w:r>
          </w:p>
        </w:tc>
        <w:tc>
          <w:tcPr>
            <w:tcW w:w="2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337</w:t>
            </w: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2025</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42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w w:val="99"/>
              </w:rPr>
              <w:t>2026</w:t>
            </w:r>
          </w:p>
        </w:tc>
        <w:tc>
          <w:tcPr>
            <w:tcW w:w="34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3,532</w:t>
            </w:r>
          </w:p>
        </w:tc>
        <w:tc>
          <w:tcPr>
            <w:tcW w:w="12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20" w:type="dxa"/>
            <w:vAlign w:val="bottom"/>
            <w:shd w:val="clear" w:color="auto" w:fill="E9E9E9"/>
          </w:tcPr>
          <w:p>
            <w:pPr>
              <w:spacing w:after="0"/>
              <w:rPr>
                <w:sz w:val="20"/>
                <w:szCs w:val="20"/>
                <w:color w:val="auto"/>
              </w:rPr>
            </w:pPr>
            <w:r>
              <w:rPr>
                <w:rFonts w:ascii="Times New Roman" w:cs="Times New Roman" w:eastAsia="Times New Roman" w:hAnsi="Times New Roman"/>
                <w:sz w:val="20"/>
                <w:szCs w:val="20"/>
                <w:color w:val="auto"/>
                <w:w w:val="99"/>
              </w:rPr>
              <w:t>2028</w:t>
            </w:r>
          </w:p>
        </w:tc>
        <w:tc>
          <w:tcPr>
            <w:tcW w:w="3440" w:type="dxa"/>
            <w:vAlign w:val="bottom"/>
            <w:shd w:val="clear" w:color="auto" w:fill="E9E9E9"/>
          </w:tcPr>
          <w:p>
            <w:pPr>
              <w:spacing w:after="0"/>
              <w:rPr>
                <w:sz w:val="19"/>
                <w:szCs w:val="19"/>
                <w:color w:val="auto"/>
              </w:rPr>
            </w:pPr>
          </w:p>
        </w:tc>
        <w:tc>
          <w:tcPr>
            <w:tcW w:w="120" w:type="dxa"/>
            <w:vAlign w:val="bottom"/>
            <w:shd w:val="clear" w:color="auto" w:fill="E9E9E9"/>
          </w:tcPr>
          <w:p>
            <w:pPr>
              <w:spacing w:after="0"/>
              <w:rPr>
                <w:sz w:val="19"/>
                <w:szCs w:val="19"/>
                <w:color w:val="auto"/>
              </w:rPr>
            </w:pPr>
          </w:p>
        </w:tc>
        <w:tc>
          <w:tcPr>
            <w:tcW w:w="14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1,718</w:t>
            </w:r>
          </w:p>
        </w:tc>
        <w:tc>
          <w:tcPr>
            <w:tcW w:w="12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860" w:type="dxa"/>
            <w:vAlign w:val="bottom"/>
            <w:tcBorders>
              <w:bottom w:val="single" w:sz="8" w:color="E9E9E9"/>
            </w:tcBorders>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120" w:type="dxa"/>
            <w:vAlign w:val="bottom"/>
            <w:tcBorders>
              <w:bottom w:val="single" w:sz="8" w:color="E9E9E9"/>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w:t>
            </w:r>
          </w:p>
        </w:tc>
        <w:tc>
          <w:tcPr>
            <w:tcW w:w="120" w:type="dxa"/>
            <w:vAlign w:val="bottom"/>
            <w:tcBorders>
              <w:bottom w:val="single" w:sz="8" w:color="E9E9E9"/>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3860" w:type="dxa"/>
            <w:vAlign w:val="bottom"/>
            <w:gridSpan w:val="2"/>
            <w:shd w:val="clear" w:color="auto" w:fill="E9E9E9"/>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lease payments</w:t>
            </w:r>
          </w:p>
        </w:tc>
        <w:tc>
          <w:tcPr>
            <w:tcW w:w="120" w:type="dxa"/>
            <w:vAlign w:val="bottom"/>
            <w:shd w:val="clear" w:color="auto" w:fill="E9E9E9"/>
          </w:tcPr>
          <w:p>
            <w:pPr>
              <w:spacing w:after="0"/>
              <w:rPr>
                <w:sz w:val="19"/>
                <w:szCs w:val="19"/>
                <w:color w:val="auto"/>
              </w:rPr>
            </w:pPr>
          </w:p>
        </w:tc>
        <w:tc>
          <w:tcPr>
            <w:tcW w:w="1440" w:type="dxa"/>
            <w:vAlign w:val="bottom"/>
            <w:shd w:val="clear" w:color="auto" w:fill="E9E9E9"/>
          </w:tcPr>
          <w:p>
            <w:pPr>
              <w:spacing w:after="0"/>
              <w:rPr>
                <w:sz w:val="19"/>
                <w:szCs w:val="19"/>
                <w:color w:val="auto"/>
              </w:rPr>
            </w:pPr>
          </w:p>
        </w:tc>
        <w:tc>
          <w:tcPr>
            <w:tcW w:w="62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25,754</w:t>
            </w:r>
          </w:p>
        </w:tc>
        <w:tc>
          <w:tcPr>
            <w:tcW w:w="120" w:type="dxa"/>
            <w:vAlign w:val="bottom"/>
            <w:shd w:val="clear" w:color="auto" w:fill="E9E9E9"/>
          </w:tcPr>
          <w:p>
            <w:pPr>
              <w:spacing w:after="0"/>
              <w:rPr>
                <w:sz w:val="19"/>
                <w:szCs w:val="19"/>
                <w:color w:val="auto"/>
              </w:rPr>
            </w:pPr>
          </w:p>
        </w:tc>
        <w:tc>
          <w:tcPr>
            <w:tcW w:w="160" w:type="dxa"/>
            <w:vAlign w:val="bottom"/>
            <w:shd w:val="clear" w:color="auto" w:fill="E9E9E9"/>
          </w:tcPr>
          <w:p>
            <w:pPr>
              <w:spacing w:after="0"/>
              <w:rPr>
                <w:sz w:val="19"/>
                <w:szCs w:val="19"/>
                <w:color w:val="auto"/>
              </w:rPr>
            </w:pPr>
          </w:p>
        </w:tc>
        <w:tc>
          <w:tcPr>
            <w:tcW w:w="1160" w:type="dxa"/>
            <w:vAlign w:val="bottom"/>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365</w:t>
            </w:r>
          </w:p>
        </w:tc>
      </w:tr>
      <w:tr>
        <w:trPr>
          <w:trHeight w:val="230"/>
        </w:trPr>
        <w:tc>
          <w:tcPr>
            <w:tcW w:w="3860" w:type="dxa"/>
            <w:vAlign w:val="bottom"/>
            <w:tcBorders>
              <w:bottom w:val="single" w:sz="8" w:color="E9E9E9"/>
            </w:tcBorders>
            <w:gridSpan w:val="2"/>
          </w:tcPr>
          <w:p>
            <w:pPr>
              <w:spacing w:after="0"/>
              <w:rPr>
                <w:sz w:val="20"/>
                <w:szCs w:val="20"/>
                <w:color w:val="auto"/>
              </w:rPr>
            </w:pPr>
            <w:r>
              <w:rPr>
                <w:rFonts w:ascii="Times New Roman" w:cs="Times New Roman" w:eastAsia="Times New Roman" w:hAnsi="Times New Roman"/>
                <w:sz w:val="20"/>
                <w:szCs w:val="20"/>
                <w:color w:val="auto"/>
              </w:rPr>
              <w:t>Amounts representing interest</w:t>
            </w:r>
          </w:p>
        </w:tc>
        <w:tc>
          <w:tcPr>
            <w:tcW w:w="120" w:type="dxa"/>
            <w:vAlign w:val="bottom"/>
            <w:tcBorders>
              <w:bottom w:val="single" w:sz="8" w:color="E9E9E9"/>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w:t>
            </w:r>
          </w:p>
        </w:tc>
        <w:tc>
          <w:tcPr>
            <w:tcW w:w="120" w:type="dxa"/>
            <w:vAlign w:val="bottom"/>
            <w:tcBorders>
              <w:bottom w:val="single" w:sz="8" w:color="E9E9E9"/>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20"/>
        </w:trPr>
        <w:tc>
          <w:tcPr>
            <w:tcW w:w="3860" w:type="dxa"/>
            <w:vAlign w:val="bottom"/>
            <w:gridSpan w:val="2"/>
            <w:shd w:val="clear" w:color="auto" w:fill="E9E9E9"/>
          </w:tcPr>
          <w:p>
            <w:pPr>
              <w:spacing w:after="0" w:line="220" w:lineRule="exact"/>
              <w:rPr>
                <w:sz w:val="20"/>
                <w:szCs w:val="20"/>
                <w:color w:val="auto"/>
              </w:rPr>
            </w:pPr>
            <w:r>
              <w:rPr>
                <w:rFonts w:ascii="Times New Roman" w:cs="Times New Roman" w:eastAsia="Times New Roman" w:hAnsi="Times New Roman"/>
                <w:sz w:val="20"/>
                <w:szCs w:val="20"/>
                <w:color w:val="auto"/>
              </w:rPr>
              <w:t>Total lease liabilities</w:t>
            </w:r>
          </w:p>
        </w:tc>
        <w:tc>
          <w:tcPr>
            <w:tcW w:w="120" w:type="dxa"/>
            <w:vAlign w:val="bottom"/>
            <w:shd w:val="clear" w:color="auto" w:fill="E9E9E9"/>
          </w:tcPr>
          <w:p>
            <w:pPr>
              <w:spacing w:after="0"/>
              <w:rPr>
                <w:sz w:val="19"/>
                <w:szCs w:val="19"/>
                <w:color w:val="auto"/>
              </w:rPr>
            </w:pPr>
          </w:p>
        </w:tc>
        <w:tc>
          <w:tcPr>
            <w:tcW w:w="1440" w:type="dxa"/>
            <w:vAlign w:val="bottom"/>
            <w:tcBorders>
              <w:bottom w:val="single" w:sz="8" w:color="auto"/>
            </w:tcBorders>
            <w:shd w:val="clear" w:color="auto" w:fill="E9E9E9"/>
          </w:tcPr>
          <w:p>
            <w:pPr>
              <w:jc w:val="right"/>
              <w:ind w:right="12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23,264</w:t>
            </w:r>
          </w:p>
        </w:tc>
        <w:tc>
          <w:tcPr>
            <w:tcW w:w="120" w:type="dxa"/>
            <w:vAlign w:val="bottom"/>
            <w:shd w:val="clear" w:color="auto" w:fill="E9E9E9"/>
          </w:tcPr>
          <w:p>
            <w:pPr>
              <w:spacing w:after="0"/>
              <w:rPr>
                <w:sz w:val="19"/>
                <w:szCs w:val="19"/>
                <w:color w:val="auto"/>
              </w:rPr>
            </w:pPr>
          </w:p>
        </w:tc>
        <w:tc>
          <w:tcPr>
            <w:tcW w:w="1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9E9E9"/>
          </w:tcPr>
          <w:p>
            <w:pPr>
              <w:jc w:val="right"/>
              <w:spacing w:after="0" w:line="220" w:lineRule="exact"/>
              <w:rPr>
                <w:sz w:val="20"/>
                <w:szCs w:val="20"/>
                <w:color w:val="auto"/>
              </w:rPr>
            </w:pPr>
            <w:r>
              <w:rPr>
                <w:rFonts w:ascii="Times New Roman" w:cs="Times New Roman" w:eastAsia="Times New Roman" w:hAnsi="Times New Roman"/>
                <w:sz w:val="20"/>
                <w:szCs w:val="20"/>
                <w:color w:val="auto"/>
              </w:rPr>
              <w:t>345</w:t>
            </w:r>
          </w:p>
        </w:tc>
      </w:tr>
      <w:tr>
        <w:trPr>
          <w:trHeight w:val="20"/>
        </w:trPr>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Employee Retirement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Defined Contribution Profit Sharing Plan</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Company sponsors a defined contribution profit sharing plan covering substantially all non-union persons employed by the Company, whereby employees may contribute a percentage of compensation, limited to maximum allowed amounts under the Internal Revenue Code.</w:t>
      </w:r>
    </w:p>
    <w:p>
      <w:pPr>
        <w:spacing w:after="0" w:line="14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Company made matching contributions of $2 million for each of the fiscal years ended December 29, 2023 and December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Multiemployer Pension Plans</w:t>
      </w:r>
    </w:p>
    <w:p>
      <w:pPr>
        <w:spacing w:after="0" w:line="19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Company participates in construction-industry multiemployer pension plans. Generally, the plans provide defined benefits to substantially all employees covered by collective bargaining agreements. Under the Employee Retirement Income Security Act, a contributor to a multiemployer plan is liable, upon termination or withdrawal from a plan, for its proportionate share of a plan’s unfunded vested liability. The Company’s aggregate contributions to these multiemployer plans were $15 million and $17 million for the fiscal years ended December 29, 2023 and December 30, 2022, respectively.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20" w:right="1440" w:bottom="175" w:gutter="0" w:footer="0" w:header="0"/>
          <w:type w:val="continuous"/>
        </w:sectPr>
      </w:pPr>
    </w:p>
    <w:bookmarkStart w:id="90" w:name="page91"/>
    <w:bookmarkEnd w:id="90"/>
    <w:p>
      <w:pPr>
        <w:ind w:right="100"/>
        <w:spacing w:after="0" w:line="244" w:lineRule="auto"/>
        <w:rPr>
          <w:sz w:val="20"/>
          <w:szCs w:val="20"/>
          <w:color w:val="auto"/>
        </w:rPr>
      </w:pPr>
      <w:r>
        <w:rPr>
          <w:rFonts w:ascii="Times New Roman" w:cs="Times New Roman" w:eastAsia="Times New Roman" w:hAnsi="Times New Roman"/>
          <w:sz w:val="20"/>
          <w:szCs w:val="20"/>
          <w:color w:val="auto"/>
        </w:rPr>
        <w:t>Our participation in significant plans for the fiscal years ended December 29, 2023 and December 30, 2022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funded, plans in the yellow zone are generally less than 80% funded, and plans in the green zone are generally at least 80%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8"/>
              </w:rPr>
              <w:t>Company Contributions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left="155"/>
              <w:spacing w:after="0"/>
              <w:rPr>
                <w:sz w:val="20"/>
                <w:szCs w:val="20"/>
                <w:color w:val="auto"/>
              </w:rPr>
            </w:pPr>
            <w:r>
              <w:rPr>
                <w:rFonts w:ascii="Times New Roman" w:cs="Times New Roman" w:eastAsia="Times New Roman" w:hAnsi="Times New Roman"/>
                <w:sz w:val="13"/>
                <w:szCs w:val="13"/>
                <w:b w:val="1"/>
                <w:bCs w:val="1"/>
                <w:color w:val="auto"/>
              </w:rPr>
              <w:t>Pension Protection Act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gridSpan w:val="3"/>
          </w:tcPr>
          <w:p>
            <w:pPr>
              <w:jc w:val="center"/>
              <w:ind w:right="295"/>
              <w:spacing w:after="0"/>
              <w:rPr>
                <w:sz w:val="20"/>
                <w:szCs w:val="20"/>
                <w:color w:val="auto"/>
              </w:rPr>
            </w:pPr>
            <w:r>
              <w:rPr>
                <w:rFonts w:ascii="Times New Roman" w:cs="Times New Roman" w:eastAsia="Times New Roman" w:hAnsi="Times New Roman"/>
                <w:sz w:val="13"/>
                <w:szCs w:val="13"/>
                <w:b w:val="1"/>
                <w:bCs w:val="1"/>
                <w:color w:val="auto"/>
              </w:rPr>
              <w:t>Zone Status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FIP/RP Status</w:t>
            </w:r>
          </w:p>
        </w:tc>
        <w:tc>
          <w:tcPr>
            <w:tcW w:w="80" w:type="dxa"/>
            <w:vAlign w:val="bottom"/>
          </w:tcPr>
          <w:p>
            <w:pPr>
              <w:spacing w:after="0"/>
              <w:rPr>
                <w:sz w:val="15"/>
                <w:szCs w:val="15"/>
                <w:color w:val="auto"/>
              </w:rPr>
            </w:pPr>
          </w:p>
        </w:tc>
        <w:tc>
          <w:tcPr>
            <w:tcW w:w="1620" w:type="dxa"/>
            <w:vAlign w:val="bottom"/>
            <w:gridSpan w:val="4"/>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EIN/Pension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Pending or</w:t>
            </w:r>
          </w:p>
        </w:tc>
        <w:tc>
          <w:tcPr>
            <w:tcW w:w="80" w:type="dxa"/>
            <w:vAlign w:val="bottom"/>
          </w:tcPr>
          <w:p>
            <w:pPr>
              <w:spacing w:after="0"/>
              <w:rPr>
                <w:sz w:val="12"/>
                <w:szCs w:val="12"/>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5"/>
              </w:rPr>
              <w:t>December</w:t>
            </w:r>
          </w:p>
        </w:tc>
        <w:tc>
          <w:tcPr>
            <w:tcW w:w="20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December 30,</w:t>
            </w:r>
          </w:p>
        </w:tc>
        <w:tc>
          <w:tcPr>
            <w:tcW w:w="2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Surcharge</w:t>
            </w:r>
          </w:p>
        </w:tc>
        <w:tc>
          <w:tcPr>
            <w:tcW w:w="0" w:type="dxa"/>
            <w:vAlign w:val="bottom"/>
          </w:tcPr>
          <w:p>
            <w:pPr>
              <w:spacing w:after="0"/>
              <w:rPr>
                <w:sz w:val="1"/>
                <w:szCs w:val="1"/>
                <w:color w:val="auto"/>
              </w:rPr>
            </w:pPr>
          </w:p>
        </w:tc>
      </w:tr>
      <w:tr>
        <w:trPr>
          <w:trHeight w:val="164"/>
        </w:trPr>
        <w:tc>
          <w:tcPr>
            <w:tcW w:w="2740" w:type="dxa"/>
            <w:vAlign w:val="bottom"/>
          </w:tcPr>
          <w:p>
            <w:pPr>
              <w:ind w:left="980"/>
              <w:spacing w:after="0"/>
              <w:rPr>
                <w:sz w:val="20"/>
                <w:szCs w:val="20"/>
                <w:color w:val="auto"/>
              </w:rPr>
            </w:pPr>
            <w:r>
              <w:rPr>
                <w:rFonts w:ascii="Times New Roman" w:cs="Times New Roman" w:eastAsia="Times New Roman" w:hAnsi="Times New Roman"/>
                <w:sz w:val="13"/>
                <w:szCs w:val="13"/>
                <w:b w:val="1"/>
                <w:bCs w:val="1"/>
                <w:color w:val="auto"/>
              </w:rPr>
              <w:t>Pension Fund</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Plan Number</w:t>
            </w:r>
          </w:p>
        </w:tc>
        <w:tc>
          <w:tcPr>
            <w:tcW w:w="680" w:type="dxa"/>
            <w:vAlign w:val="bottom"/>
            <w:gridSpan w:val="2"/>
          </w:tcPr>
          <w:p>
            <w:pPr>
              <w:jc w:val="center"/>
              <w:ind w:left="23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40" w:type="dxa"/>
            <w:vAlign w:val="bottom"/>
            <w:gridSpan w:val="3"/>
          </w:tcPr>
          <w:p>
            <w:pPr>
              <w:jc w:val="center"/>
              <w:ind w:left="475"/>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Implemented</w:t>
            </w:r>
          </w:p>
        </w:tc>
        <w:tc>
          <w:tcPr>
            <w:tcW w:w="80" w:type="dxa"/>
            <w:vAlign w:val="bottom"/>
          </w:tcPr>
          <w:p>
            <w:pPr>
              <w:spacing w:after="0"/>
              <w:rPr>
                <w:sz w:val="14"/>
                <w:szCs w:val="14"/>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29, 2023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Imposed</w:t>
            </w:r>
          </w:p>
        </w:tc>
        <w:tc>
          <w:tcPr>
            <w:tcW w:w="0" w:type="dxa"/>
            <w:vAlign w:val="bottom"/>
          </w:tcPr>
          <w:p>
            <w:pPr>
              <w:spacing w:after="0"/>
              <w:rPr>
                <w:sz w:val="1"/>
                <w:szCs w:val="1"/>
                <w:color w:val="auto"/>
              </w:rPr>
            </w:pPr>
          </w:p>
        </w:tc>
      </w:tr>
      <w:tr>
        <w:trPr>
          <w:trHeight w:val="139"/>
        </w:trPr>
        <w:tc>
          <w:tcPr>
            <w:tcW w:w="2740" w:type="dxa"/>
            <w:vAlign w:val="bottom"/>
            <w:tcBorders>
              <w:top w:val="single" w:sz="8" w:color="auto"/>
            </w:tcBorders>
            <w:shd w:val="clear" w:color="auto" w:fill="E9E9E9"/>
          </w:tcPr>
          <w:p>
            <w:pPr>
              <w:spacing w:after="0" w:line="139" w:lineRule="exact"/>
              <w:rPr>
                <w:sz w:val="20"/>
                <w:szCs w:val="20"/>
                <w:color w:val="auto"/>
              </w:rPr>
            </w:pPr>
            <w:r>
              <w:rPr>
                <w:rFonts w:ascii="Times New Roman" w:cs="Times New Roman" w:eastAsia="Times New Roman" w:hAnsi="Times New Roman"/>
                <w:sz w:val="13"/>
                <w:szCs w:val="13"/>
                <w:color w:val="auto"/>
              </w:rPr>
              <w:t>Pension Trust Fund for the Operating Engineers</w:t>
            </w:r>
          </w:p>
        </w:tc>
        <w:tc>
          <w:tcPr>
            <w:tcW w:w="80" w:type="dxa"/>
            <w:vAlign w:val="bottom"/>
            <w:tcBorders>
              <w:top w:val="single" w:sz="8" w:color="E9E9E9"/>
            </w:tcBorders>
            <w:shd w:val="clear" w:color="auto" w:fill="E9E9E9"/>
          </w:tcPr>
          <w:p>
            <w:pPr>
              <w:spacing w:after="0"/>
              <w:rPr>
                <w:sz w:val="12"/>
                <w:szCs w:val="12"/>
                <w:color w:val="auto"/>
              </w:rPr>
            </w:pPr>
          </w:p>
        </w:tc>
        <w:tc>
          <w:tcPr>
            <w:tcW w:w="840" w:type="dxa"/>
            <w:vAlign w:val="bottom"/>
            <w:tcBorders>
              <w:top w:val="single" w:sz="8" w:color="auto"/>
            </w:tcBorders>
            <w:shd w:val="clear" w:color="auto" w:fill="E9E9E9"/>
          </w:tcPr>
          <w:p>
            <w:pPr>
              <w:jc w:val="center"/>
              <w:spacing w:after="0" w:line="139" w:lineRule="exact"/>
              <w:rPr>
                <w:sz w:val="20"/>
                <w:szCs w:val="20"/>
                <w:color w:val="auto"/>
              </w:rPr>
            </w:pPr>
            <w:r>
              <w:rPr>
                <w:rFonts w:ascii="Times New Roman" w:cs="Times New Roman" w:eastAsia="Times New Roman" w:hAnsi="Times New Roman"/>
                <w:sz w:val="13"/>
                <w:szCs w:val="13"/>
                <w:color w:val="auto"/>
                <w:w w:val="98"/>
              </w:rPr>
              <w:t>94-6090764</w:t>
            </w:r>
          </w:p>
        </w:tc>
        <w:tc>
          <w:tcPr>
            <w:tcW w:w="100" w:type="dxa"/>
            <w:vAlign w:val="bottom"/>
            <w:tcBorders>
              <w:top w:val="single" w:sz="8" w:color="E9E9E9"/>
            </w:tcBorders>
            <w:shd w:val="clear" w:color="auto" w:fill="E9E9E9"/>
          </w:tcPr>
          <w:p>
            <w:pPr>
              <w:spacing w:after="0"/>
              <w:rPr>
                <w:sz w:val="12"/>
                <w:szCs w:val="12"/>
                <w:color w:val="auto"/>
              </w:rPr>
            </w:pPr>
          </w:p>
        </w:tc>
        <w:tc>
          <w:tcPr>
            <w:tcW w:w="580" w:type="dxa"/>
            <w:vAlign w:val="bottom"/>
            <w:tcBorders>
              <w:top w:val="single" w:sz="8" w:color="auto"/>
            </w:tcBorders>
            <w:shd w:val="clear" w:color="auto" w:fill="E9E9E9"/>
          </w:tcPr>
          <w:p>
            <w:pPr>
              <w:jc w:val="center"/>
              <w:ind w:left="155"/>
              <w:spacing w:after="0" w:line="139"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tcBorders>
              <w:top w:val="single" w:sz="8" w:color="auto"/>
            </w:tcBorders>
            <w:shd w:val="clear" w:color="auto" w:fill="E9E9E9"/>
          </w:tcPr>
          <w:p>
            <w:pPr>
              <w:spacing w:after="0"/>
              <w:rPr>
                <w:sz w:val="12"/>
                <w:szCs w:val="12"/>
                <w:color w:val="auto"/>
              </w:rPr>
            </w:pPr>
          </w:p>
        </w:tc>
        <w:tc>
          <w:tcPr>
            <w:tcW w:w="80" w:type="dxa"/>
            <w:vAlign w:val="bottom"/>
            <w:tcBorders>
              <w:top w:val="single" w:sz="8" w:color="E9E9E9"/>
            </w:tcBorders>
            <w:shd w:val="clear" w:color="auto" w:fill="E9E9E9"/>
          </w:tcPr>
          <w:p>
            <w:pPr>
              <w:spacing w:after="0"/>
              <w:rPr>
                <w:sz w:val="12"/>
                <w:szCs w:val="12"/>
                <w:color w:val="auto"/>
              </w:rPr>
            </w:pPr>
          </w:p>
        </w:tc>
        <w:tc>
          <w:tcPr>
            <w:tcW w:w="740" w:type="dxa"/>
            <w:vAlign w:val="bottom"/>
            <w:tcBorders>
              <w:top w:val="single" w:sz="8" w:color="auto"/>
            </w:tcBorders>
            <w:shd w:val="clear" w:color="auto" w:fill="E9E9E9"/>
          </w:tcPr>
          <w:p>
            <w:pPr>
              <w:jc w:val="center"/>
              <w:ind w:left="175"/>
              <w:spacing w:after="0" w:line="139" w:lineRule="exact"/>
              <w:rPr>
                <w:sz w:val="20"/>
                <w:szCs w:val="20"/>
                <w:color w:val="auto"/>
              </w:rPr>
            </w:pPr>
            <w:r>
              <w:rPr>
                <w:rFonts w:ascii="Times New Roman" w:cs="Times New Roman" w:eastAsia="Times New Roman" w:hAnsi="Times New Roman"/>
                <w:sz w:val="13"/>
                <w:szCs w:val="13"/>
                <w:color w:val="auto"/>
                <w:w w:val="99"/>
              </w:rPr>
              <w:t>Yellow</w:t>
            </w:r>
          </w:p>
        </w:tc>
        <w:tc>
          <w:tcPr>
            <w:tcW w:w="220" w:type="dxa"/>
            <w:vAlign w:val="bottom"/>
            <w:tcBorders>
              <w:top w:val="single" w:sz="8" w:color="auto"/>
            </w:tcBorders>
            <w:shd w:val="clear" w:color="auto" w:fill="E9E9E9"/>
          </w:tcPr>
          <w:p>
            <w:pPr>
              <w:spacing w:after="0"/>
              <w:rPr>
                <w:sz w:val="12"/>
                <w:szCs w:val="12"/>
                <w:color w:val="auto"/>
              </w:rPr>
            </w:pPr>
          </w:p>
        </w:tc>
        <w:tc>
          <w:tcPr>
            <w:tcW w:w="100" w:type="dxa"/>
            <w:vAlign w:val="bottom"/>
            <w:tcBorders>
              <w:top w:val="single" w:sz="8" w:color="E9E9E9"/>
            </w:tcBorders>
            <w:shd w:val="clear" w:color="auto" w:fill="E9E9E9"/>
          </w:tcPr>
          <w:p>
            <w:pPr>
              <w:spacing w:after="0"/>
              <w:rPr>
                <w:sz w:val="12"/>
                <w:szCs w:val="12"/>
                <w:color w:val="auto"/>
              </w:rPr>
            </w:pPr>
          </w:p>
        </w:tc>
        <w:tc>
          <w:tcPr>
            <w:tcW w:w="1040" w:type="dxa"/>
            <w:vAlign w:val="bottom"/>
            <w:tcBorders>
              <w:top w:val="single" w:sz="8" w:color="auto"/>
            </w:tcBorders>
            <w:shd w:val="clear" w:color="auto" w:fill="E9E9E9"/>
          </w:tcPr>
          <w:p>
            <w:pPr>
              <w:jc w:val="center"/>
              <w:spacing w:after="0" w:line="139"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Borders>
              <w:top w:val="single" w:sz="8" w:color="E9E9E9"/>
            </w:tcBorders>
            <w:shd w:val="clear" w:color="auto" w:fill="E9E9E9"/>
          </w:tcPr>
          <w:p>
            <w:pPr>
              <w:spacing w:after="0"/>
              <w:rPr>
                <w:sz w:val="12"/>
                <w:szCs w:val="12"/>
                <w:color w:val="auto"/>
              </w:rPr>
            </w:pPr>
          </w:p>
        </w:tc>
        <w:tc>
          <w:tcPr>
            <w:tcW w:w="80" w:type="dxa"/>
            <w:vAlign w:val="bottom"/>
            <w:tcBorders>
              <w:top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E9E9E9"/>
          </w:tcPr>
          <w:p>
            <w:pPr>
              <w:jc w:val="right"/>
              <w:spacing w:after="0" w:line="139" w:lineRule="exact"/>
              <w:rPr>
                <w:sz w:val="20"/>
                <w:szCs w:val="20"/>
                <w:color w:val="auto"/>
              </w:rPr>
            </w:pPr>
            <w:r>
              <w:rPr>
                <w:rFonts w:ascii="Times New Roman" w:cs="Times New Roman" w:eastAsia="Times New Roman" w:hAnsi="Times New Roman"/>
                <w:sz w:val="13"/>
                <w:szCs w:val="13"/>
                <w:color w:val="auto"/>
              </w:rPr>
              <w:t>1,852</w:t>
            </w:r>
          </w:p>
        </w:tc>
        <w:tc>
          <w:tcPr>
            <w:tcW w:w="200" w:type="dxa"/>
            <w:vAlign w:val="bottom"/>
            <w:tcBorders>
              <w:top w:val="single" w:sz="8" w:color="E9E9E9"/>
            </w:tcBorders>
            <w:shd w:val="clear" w:color="auto" w:fill="E9E9E9"/>
          </w:tcPr>
          <w:p>
            <w:pPr>
              <w:spacing w:after="0"/>
              <w:rPr>
                <w:sz w:val="12"/>
                <w:szCs w:val="12"/>
                <w:color w:val="auto"/>
              </w:rPr>
            </w:pPr>
          </w:p>
        </w:tc>
        <w:tc>
          <w:tcPr>
            <w:tcW w:w="160" w:type="dxa"/>
            <w:vAlign w:val="bottom"/>
            <w:tcBorders>
              <w:top w:val="single" w:sz="8" w:color="auto"/>
            </w:tcBorders>
            <w:shd w:val="clear" w:color="auto" w:fill="E9E9E9"/>
          </w:tcPr>
          <w:p>
            <w:pPr>
              <w:spacing w:after="0" w:line="13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E9E9E9"/>
          </w:tcPr>
          <w:p>
            <w:pPr>
              <w:jc w:val="right"/>
              <w:spacing w:after="0" w:line="139" w:lineRule="exact"/>
              <w:rPr>
                <w:sz w:val="20"/>
                <w:szCs w:val="20"/>
                <w:color w:val="auto"/>
              </w:rPr>
            </w:pPr>
            <w:r>
              <w:rPr>
                <w:rFonts w:ascii="Times New Roman" w:cs="Times New Roman" w:eastAsia="Times New Roman" w:hAnsi="Times New Roman"/>
                <w:sz w:val="13"/>
                <w:szCs w:val="13"/>
                <w:color w:val="auto"/>
              </w:rPr>
              <w:t>1,857</w:t>
            </w:r>
          </w:p>
        </w:tc>
        <w:tc>
          <w:tcPr>
            <w:tcW w:w="200" w:type="dxa"/>
            <w:vAlign w:val="bottom"/>
            <w:tcBorders>
              <w:top w:val="single" w:sz="8" w:color="E9E9E9"/>
            </w:tcBorders>
            <w:shd w:val="clear" w:color="auto" w:fill="E9E9E9"/>
          </w:tcPr>
          <w:p>
            <w:pPr>
              <w:spacing w:after="0"/>
              <w:rPr>
                <w:sz w:val="12"/>
                <w:szCs w:val="12"/>
                <w:color w:val="auto"/>
              </w:rPr>
            </w:pPr>
          </w:p>
        </w:tc>
        <w:tc>
          <w:tcPr>
            <w:tcW w:w="620" w:type="dxa"/>
            <w:vAlign w:val="bottom"/>
            <w:tcBorders>
              <w:top w:val="single" w:sz="8" w:color="auto"/>
            </w:tcBorders>
            <w:shd w:val="clear" w:color="auto" w:fill="E9E9E9"/>
          </w:tcPr>
          <w:p>
            <w:pPr>
              <w:jc w:val="center"/>
              <w:spacing w:after="0" w:line="139"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37"/>
        </w:trPr>
        <w:tc>
          <w:tcPr>
            <w:tcW w:w="27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Tri-State Carpenters &amp; Joiners Pension Trust Fund</w:t>
            </w:r>
          </w:p>
        </w:tc>
        <w:tc>
          <w:tcPr>
            <w:tcW w:w="8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8"/>
              </w:rPr>
              <w:t>62-0976048</w:t>
            </w:r>
          </w:p>
        </w:tc>
        <w:tc>
          <w:tcPr>
            <w:tcW w:w="100" w:type="dxa"/>
            <w:vAlign w:val="bottom"/>
          </w:tcPr>
          <w:p>
            <w:pPr>
              <w:spacing w:after="0"/>
              <w:rPr>
                <w:sz w:val="11"/>
                <w:szCs w:val="11"/>
                <w:color w:val="auto"/>
              </w:rPr>
            </w:pPr>
          </w:p>
        </w:tc>
        <w:tc>
          <w:tcPr>
            <w:tcW w:w="5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175"/>
              <w:spacing w:after="0" w:line="138" w:lineRule="exact"/>
              <w:rPr>
                <w:sz w:val="20"/>
                <w:szCs w:val="20"/>
                <w:color w:val="auto"/>
              </w:rPr>
            </w:pPr>
            <w:r>
              <w:rPr>
                <w:rFonts w:ascii="Times New Roman" w:cs="Times New Roman" w:eastAsia="Times New Roman" w:hAnsi="Times New Roman"/>
                <w:sz w:val="13"/>
                <w:szCs w:val="13"/>
                <w:color w:val="auto"/>
                <w:w w:val="99"/>
              </w:rPr>
              <w:t>Yellow</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1,722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1,818</w:t>
            </w:r>
          </w:p>
        </w:tc>
        <w:tc>
          <w:tcPr>
            <w:tcW w:w="20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Carpenters Pension Trust Fund for Northern</w:t>
            </w:r>
          </w:p>
        </w:tc>
        <w:tc>
          <w:tcPr>
            <w:tcW w:w="920" w:type="dxa"/>
            <w:vAlign w:val="bottom"/>
            <w:gridSpan w:val="2"/>
            <w:shd w:val="clear" w:color="auto" w:fill="E9E9E9"/>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94-6050970</w:t>
            </w:r>
          </w:p>
        </w:tc>
        <w:tc>
          <w:tcPr>
            <w:tcW w:w="100" w:type="dxa"/>
            <w:vAlign w:val="bottom"/>
            <w:shd w:val="clear" w:color="auto" w:fill="E9E9E9"/>
          </w:tcPr>
          <w:p>
            <w:pPr>
              <w:spacing w:after="0"/>
              <w:rPr>
                <w:sz w:val="11"/>
                <w:szCs w:val="11"/>
                <w:color w:val="auto"/>
              </w:rPr>
            </w:pPr>
          </w:p>
        </w:tc>
        <w:tc>
          <w:tcPr>
            <w:tcW w:w="580" w:type="dxa"/>
            <w:vAlign w:val="bottom"/>
            <w:shd w:val="clear" w:color="auto" w:fill="E9E9E9"/>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w w:val="95"/>
              </w:rPr>
              <w:t>Red</w:t>
            </w:r>
          </w:p>
        </w:tc>
        <w:tc>
          <w:tcPr>
            <w:tcW w:w="2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40" w:type="dxa"/>
            <w:vAlign w:val="bottom"/>
            <w:shd w:val="clear" w:color="auto" w:fill="E9E9E9"/>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w w:val="95"/>
              </w:rPr>
              <w:t>Red</w:t>
            </w:r>
          </w:p>
        </w:tc>
        <w:tc>
          <w:tcPr>
            <w:tcW w:w="220" w:type="dxa"/>
            <w:vAlign w:val="bottom"/>
            <w:shd w:val="clear" w:color="auto" w:fill="E9E9E9"/>
          </w:tcPr>
          <w:p>
            <w:pPr>
              <w:spacing w:after="0"/>
              <w:rPr>
                <w:sz w:val="11"/>
                <w:szCs w:val="11"/>
                <w:color w:val="auto"/>
              </w:rPr>
            </w:pPr>
          </w:p>
        </w:tc>
        <w:tc>
          <w:tcPr>
            <w:tcW w:w="100" w:type="dxa"/>
            <w:vAlign w:val="bottom"/>
            <w:shd w:val="clear" w:color="auto" w:fill="E9E9E9"/>
          </w:tcPr>
          <w:p>
            <w:pPr>
              <w:spacing w:after="0"/>
              <w:rPr>
                <w:sz w:val="11"/>
                <w:szCs w:val="11"/>
                <w:color w:val="auto"/>
              </w:rPr>
            </w:pPr>
          </w:p>
        </w:tc>
        <w:tc>
          <w:tcPr>
            <w:tcW w:w="1140" w:type="dxa"/>
            <w:vAlign w:val="bottom"/>
            <w:gridSpan w:val="2"/>
            <w:shd w:val="clear" w:color="auto" w:fill="E9E9E9"/>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w w:val="99"/>
              </w:rPr>
              <w:t>Implemented</w:t>
            </w:r>
          </w:p>
        </w:tc>
        <w:tc>
          <w:tcPr>
            <w:tcW w:w="80" w:type="dxa"/>
            <w:vAlign w:val="bottom"/>
            <w:shd w:val="clear" w:color="auto" w:fill="E9E9E9"/>
          </w:tcPr>
          <w:p>
            <w:pPr>
              <w:spacing w:after="0"/>
              <w:rPr>
                <w:sz w:val="11"/>
                <w:szCs w:val="11"/>
                <w:color w:val="auto"/>
              </w:rPr>
            </w:pPr>
          </w:p>
        </w:tc>
        <w:tc>
          <w:tcPr>
            <w:tcW w:w="66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1,454</w:t>
            </w:r>
          </w:p>
        </w:tc>
        <w:tc>
          <w:tcPr>
            <w:tcW w:w="200" w:type="dxa"/>
            <w:vAlign w:val="bottom"/>
            <w:shd w:val="clear" w:color="auto" w:fill="E9E9E9"/>
          </w:tcPr>
          <w:p>
            <w:pPr>
              <w:spacing w:after="0"/>
              <w:rPr>
                <w:sz w:val="11"/>
                <w:szCs w:val="11"/>
                <w:color w:val="auto"/>
              </w:rPr>
            </w:pPr>
          </w:p>
        </w:tc>
        <w:tc>
          <w:tcPr>
            <w:tcW w:w="160" w:type="dxa"/>
            <w:vAlign w:val="bottom"/>
            <w:shd w:val="clear" w:color="auto" w:fill="E9E9E9"/>
          </w:tcPr>
          <w:p>
            <w:pPr>
              <w:spacing w:after="0"/>
              <w:rPr>
                <w:sz w:val="11"/>
                <w:szCs w:val="11"/>
                <w:color w:val="auto"/>
              </w:rPr>
            </w:pPr>
          </w:p>
        </w:tc>
        <w:tc>
          <w:tcPr>
            <w:tcW w:w="60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1,613</w:t>
            </w:r>
          </w:p>
        </w:tc>
        <w:tc>
          <w:tcPr>
            <w:tcW w:w="200" w:type="dxa"/>
            <w:vAlign w:val="bottom"/>
            <w:shd w:val="clear" w:color="auto" w:fill="E9E9E9"/>
          </w:tcPr>
          <w:p>
            <w:pPr>
              <w:spacing w:after="0"/>
              <w:rPr>
                <w:sz w:val="11"/>
                <w:szCs w:val="11"/>
                <w:color w:val="auto"/>
              </w:rPr>
            </w:pPr>
          </w:p>
        </w:tc>
        <w:tc>
          <w:tcPr>
            <w:tcW w:w="620" w:type="dxa"/>
            <w:vAlign w:val="bottom"/>
            <w:shd w:val="clear" w:color="auto" w:fill="E9E9E9"/>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California</w:t>
            </w:r>
          </w:p>
        </w:tc>
        <w:tc>
          <w:tcPr>
            <w:tcW w:w="80" w:type="dxa"/>
            <w:vAlign w:val="bottom"/>
            <w:shd w:val="clear" w:color="auto" w:fill="E9E9E9"/>
          </w:tcPr>
          <w:p>
            <w:pPr>
              <w:spacing w:after="0"/>
              <w:rPr>
                <w:sz w:val="14"/>
                <w:szCs w:val="14"/>
                <w:color w:val="auto"/>
              </w:rPr>
            </w:pPr>
          </w:p>
        </w:tc>
        <w:tc>
          <w:tcPr>
            <w:tcW w:w="8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58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74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10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6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0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620" w:type="dxa"/>
            <w:vAlign w:val="bottom"/>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California Ironworkers Field Pension Fund</w:t>
            </w:r>
          </w:p>
        </w:tc>
        <w:tc>
          <w:tcPr>
            <w:tcW w:w="92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auto"/>
                <w:w w:val="98"/>
              </w:rPr>
              <w:t>95-6042866</w:t>
            </w:r>
          </w:p>
        </w:tc>
        <w:tc>
          <w:tcPr>
            <w:tcW w:w="100" w:type="dxa"/>
            <w:vAlign w:val="bottom"/>
          </w:tcPr>
          <w:p>
            <w:pPr>
              <w:spacing w:after="0"/>
              <w:rPr>
                <w:sz w:val="12"/>
                <w:szCs w:val="12"/>
                <w:color w:val="auto"/>
              </w:rPr>
            </w:pPr>
          </w:p>
        </w:tc>
        <w:tc>
          <w:tcPr>
            <w:tcW w:w="580" w:type="dxa"/>
            <w:vAlign w:val="bottom"/>
          </w:tcPr>
          <w:p>
            <w:pPr>
              <w:jc w:val="center"/>
              <w:ind w:left="155"/>
              <w:spacing w:after="0"/>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left="155"/>
              <w:spacing w:after="0"/>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2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37"/>
        </w:trPr>
        <w:tc>
          <w:tcPr>
            <w:tcW w:w="274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Laborers Pension Trust Fund for Northern</w:t>
            </w:r>
          </w:p>
        </w:tc>
        <w:tc>
          <w:tcPr>
            <w:tcW w:w="920" w:type="dxa"/>
            <w:vAlign w:val="bottom"/>
            <w:gridSpan w:val="2"/>
            <w:shd w:val="clear" w:color="auto" w:fill="E9E9E9"/>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94-6277608</w:t>
            </w:r>
          </w:p>
        </w:tc>
        <w:tc>
          <w:tcPr>
            <w:tcW w:w="100" w:type="dxa"/>
            <w:vAlign w:val="bottom"/>
            <w:shd w:val="clear" w:color="auto" w:fill="E9E9E9"/>
          </w:tcPr>
          <w:p>
            <w:pPr>
              <w:spacing w:after="0"/>
              <w:rPr>
                <w:sz w:val="11"/>
                <w:szCs w:val="11"/>
                <w:color w:val="auto"/>
              </w:rPr>
            </w:pPr>
          </w:p>
        </w:tc>
        <w:tc>
          <w:tcPr>
            <w:tcW w:w="580" w:type="dxa"/>
            <w:vAlign w:val="bottom"/>
            <w:shd w:val="clear" w:color="auto" w:fill="E9E9E9"/>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40" w:type="dxa"/>
            <w:vAlign w:val="bottom"/>
            <w:shd w:val="clear" w:color="auto" w:fill="E9E9E9"/>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shd w:val="clear" w:color="auto" w:fill="E9E9E9"/>
          </w:tcPr>
          <w:p>
            <w:pPr>
              <w:spacing w:after="0"/>
              <w:rPr>
                <w:sz w:val="11"/>
                <w:szCs w:val="11"/>
                <w:color w:val="auto"/>
              </w:rPr>
            </w:pPr>
          </w:p>
        </w:tc>
        <w:tc>
          <w:tcPr>
            <w:tcW w:w="100" w:type="dxa"/>
            <w:vAlign w:val="bottom"/>
            <w:shd w:val="clear" w:color="auto" w:fill="E9E9E9"/>
          </w:tcPr>
          <w:p>
            <w:pPr>
              <w:spacing w:after="0"/>
              <w:rPr>
                <w:sz w:val="11"/>
                <w:szCs w:val="11"/>
                <w:color w:val="auto"/>
              </w:rPr>
            </w:pPr>
          </w:p>
        </w:tc>
        <w:tc>
          <w:tcPr>
            <w:tcW w:w="1140" w:type="dxa"/>
            <w:vAlign w:val="bottom"/>
            <w:gridSpan w:val="2"/>
            <w:shd w:val="clear" w:color="auto" w:fill="E9E9E9"/>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E9E9E9"/>
          </w:tcPr>
          <w:p>
            <w:pPr>
              <w:spacing w:after="0"/>
              <w:rPr>
                <w:sz w:val="11"/>
                <w:szCs w:val="11"/>
                <w:color w:val="auto"/>
              </w:rPr>
            </w:pPr>
          </w:p>
        </w:tc>
        <w:tc>
          <w:tcPr>
            <w:tcW w:w="66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1,366</w:t>
            </w:r>
          </w:p>
        </w:tc>
        <w:tc>
          <w:tcPr>
            <w:tcW w:w="200" w:type="dxa"/>
            <w:vAlign w:val="bottom"/>
            <w:shd w:val="clear" w:color="auto" w:fill="E9E9E9"/>
          </w:tcPr>
          <w:p>
            <w:pPr>
              <w:spacing w:after="0"/>
              <w:rPr>
                <w:sz w:val="11"/>
                <w:szCs w:val="11"/>
                <w:color w:val="auto"/>
              </w:rPr>
            </w:pPr>
          </w:p>
        </w:tc>
        <w:tc>
          <w:tcPr>
            <w:tcW w:w="160" w:type="dxa"/>
            <w:vAlign w:val="bottom"/>
            <w:shd w:val="clear" w:color="auto" w:fill="E9E9E9"/>
          </w:tcPr>
          <w:p>
            <w:pPr>
              <w:spacing w:after="0"/>
              <w:rPr>
                <w:sz w:val="11"/>
                <w:szCs w:val="11"/>
                <w:color w:val="auto"/>
              </w:rPr>
            </w:pPr>
          </w:p>
        </w:tc>
        <w:tc>
          <w:tcPr>
            <w:tcW w:w="60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1,389</w:t>
            </w:r>
          </w:p>
        </w:tc>
        <w:tc>
          <w:tcPr>
            <w:tcW w:w="200" w:type="dxa"/>
            <w:vAlign w:val="bottom"/>
            <w:shd w:val="clear" w:color="auto" w:fill="E9E9E9"/>
          </w:tcPr>
          <w:p>
            <w:pPr>
              <w:spacing w:after="0"/>
              <w:rPr>
                <w:sz w:val="11"/>
                <w:szCs w:val="11"/>
                <w:color w:val="auto"/>
              </w:rPr>
            </w:pPr>
          </w:p>
        </w:tc>
        <w:tc>
          <w:tcPr>
            <w:tcW w:w="620" w:type="dxa"/>
            <w:vAlign w:val="bottom"/>
            <w:shd w:val="clear" w:color="auto" w:fill="E9E9E9"/>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California</w:t>
            </w:r>
          </w:p>
        </w:tc>
        <w:tc>
          <w:tcPr>
            <w:tcW w:w="80" w:type="dxa"/>
            <w:vAlign w:val="bottom"/>
            <w:shd w:val="clear" w:color="auto" w:fill="E9E9E9"/>
          </w:tcPr>
          <w:p>
            <w:pPr>
              <w:spacing w:after="0"/>
              <w:rPr>
                <w:sz w:val="14"/>
                <w:szCs w:val="14"/>
                <w:color w:val="auto"/>
              </w:rPr>
            </w:pPr>
          </w:p>
        </w:tc>
        <w:tc>
          <w:tcPr>
            <w:tcW w:w="8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58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74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10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6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0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620" w:type="dxa"/>
            <w:vAlign w:val="bottom"/>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Central Pension Fund of the IUOE &amp; Participating</w:t>
            </w:r>
          </w:p>
        </w:tc>
        <w:tc>
          <w:tcPr>
            <w:tcW w:w="920" w:type="dxa"/>
            <w:vAlign w:val="bottom"/>
            <w:gridSpan w:val="2"/>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36-6052390</w:t>
            </w:r>
          </w:p>
        </w:tc>
        <w:tc>
          <w:tcPr>
            <w:tcW w:w="100" w:type="dxa"/>
            <w:vAlign w:val="bottom"/>
          </w:tcPr>
          <w:p>
            <w:pPr>
              <w:spacing w:after="0"/>
              <w:rPr>
                <w:sz w:val="11"/>
                <w:szCs w:val="11"/>
                <w:color w:val="auto"/>
              </w:rPr>
            </w:pPr>
          </w:p>
        </w:tc>
        <w:tc>
          <w:tcPr>
            <w:tcW w:w="5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1,006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949</w:t>
            </w:r>
          </w:p>
        </w:tc>
        <w:tc>
          <w:tcPr>
            <w:tcW w:w="200" w:type="dxa"/>
            <w:vAlign w:val="bottom"/>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Employers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Ironworkers District Council of TN Valley &amp;</w:t>
            </w:r>
          </w:p>
        </w:tc>
        <w:tc>
          <w:tcPr>
            <w:tcW w:w="920" w:type="dxa"/>
            <w:vAlign w:val="bottom"/>
            <w:gridSpan w:val="2"/>
            <w:shd w:val="clear" w:color="auto" w:fill="E9E9E9"/>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62-6098036</w:t>
            </w:r>
          </w:p>
        </w:tc>
        <w:tc>
          <w:tcPr>
            <w:tcW w:w="100" w:type="dxa"/>
            <w:vAlign w:val="bottom"/>
            <w:shd w:val="clear" w:color="auto" w:fill="E9E9E9"/>
          </w:tcPr>
          <w:p>
            <w:pPr>
              <w:spacing w:after="0"/>
              <w:rPr>
                <w:sz w:val="11"/>
                <w:szCs w:val="11"/>
                <w:color w:val="auto"/>
              </w:rPr>
            </w:pPr>
          </w:p>
        </w:tc>
        <w:tc>
          <w:tcPr>
            <w:tcW w:w="58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40" w:type="dxa"/>
            <w:vAlign w:val="bottom"/>
            <w:shd w:val="clear" w:color="auto" w:fill="E9E9E9"/>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shd w:val="clear" w:color="auto" w:fill="E9E9E9"/>
          </w:tcPr>
          <w:p>
            <w:pPr>
              <w:spacing w:after="0"/>
              <w:rPr>
                <w:sz w:val="11"/>
                <w:szCs w:val="11"/>
                <w:color w:val="auto"/>
              </w:rPr>
            </w:pPr>
          </w:p>
        </w:tc>
        <w:tc>
          <w:tcPr>
            <w:tcW w:w="100" w:type="dxa"/>
            <w:vAlign w:val="bottom"/>
            <w:shd w:val="clear" w:color="auto" w:fill="E9E9E9"/>
          </w:tcPr>
          <w:p>
            <w:pPr>
              <w:spacing w:after="0"/>
              <w:rPr>
                <w:sz w:val="11"/>
                <w:szCs w:val="11"/>
                <w:color w:val="auto"/>
              </w:rPr>
            </w:pPr>
          </w:p>
        </w:tc>
        <w:tc>
          <w:tcPr>
            <w:tcW w:w="1140" w:type="dxa"/>
            <w:vAlign w:val="bottom"/>
            <w:gridSpan w:val="2"/>
            <w:shd w:val="clear" w:color="auto" w:fill="E9E9E9"/>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E9E9E9"/>
          </w:tcPr>
          <w:p>
            <w:pPr>
              <w:spacing w:after="0"/>
              <w:rPr>
                <w:sz w:val="11"/>
                <w:szCs w:val="11"/>
                <w:color w:val="auto"/>
              </w:rPr>
            </w:pPr>
          </w:p>
        </w:tc>
        <w:tc>
          <w:tcPr>
            <w:tcW w:w="66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882</w:t>
            </w:r>
          </w:p>
        </w:tc>
        <w:tc>
          <w:tcPr>
            <w:tcW w:w="200" w:type="dxa"/>
            <w:vAlign w:val="bottom"/>
            <w:shd w:val="clear" w:color="auto" w:fill="E9E9E9"/>
          </w:tcPr>
          <w:p>
            <w:pPr>
              <w:spacing w:after="0"/>
              <w:rPr>
                <w:sz w:val="11"/>
                <w:szCs w:val="11"/>
                <w:color w:val="auto"/>
              </w:rPr>
            </w:pPr>
          </w:p>
        </w:tc>
        <w:tc>
          <w:tcPr>
            <w:tcW w:w="160" w:type="dxa"/>
            <w:vAlign w:val="bottom"/>
            <w:shd w:val="clear" w:color="auto" w:fill="E9E9E9"/>
          </w:tcPr>
          <w:p>
            <w:pPr>
              <w:spacing w:after="0"/>
              <w:rPr>
                <w:sz w:val="11"/>
                <w:szCs w:val="11"/>
                <w:color w:val="auto"/>
              </w:rPr>
            </w:pPr>
          </w:p>
        </w:tc>
        <w:tc>
          <w:tcPr>
            <w:tcW w:w="60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839</w:t>
            </w:r>
          </w:p>
        </w:tc>
        <w:tc>
          <w:tcPr>
            <w:tcW w:w="200" w:type="dxa"/>
            <w:vAlign w:val="bottom"/>
            <w:shd w:val="clear" w:color="auto" w:fill="E9E9E9"/>
          </w:tcPr>
          <w:p>
            <w:pPr>
              <w:spacing w:after="0"/>
              <w:rPr>
                <w:sz w:val="11"/>
                <w:szCs w:val="11"/>
                <w:color w:val="auto"/>
              </w:rPr>
            </w:pPr>
          </w:p>
        </w:tc>
        <w:tc>
          <w:tcPr>
            <w:tcW w:w="620" w:type="dxa"/>
            <w:vAlign w:val="bottom"/>
            <w:shd w:val="clear" w:color="auto" w:fill="E9E9E9"/>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Vicinity Welfare Pension Plans</w:t>
            </w:r>
          </w:p>
        </w:tc>
        <w:tc>
          <w:tcPr>
            <w:tcW w:w="80" w:type="dxa"/>
            <w:vAlign w:val="bottom"/>
            <w:shd w:val="clear" w:color="auto" w:fill="E9E9E9"/>
          </w:tcPr>
          <w:p>
            <w:pPr>
              <w:spacing w:after="0"/>
              <w:rPr>
                <w:sz w:val="14"/>
                <w:szCs w:val="14"/>
                <w:color w:val="auto"/>
              </w:rPr>
            </w:pPr>
          </w:p>
        </w:tc>
        <w:tc>
          <w:tcPr>
            <w:tcW w:w="8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58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74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10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6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0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620" w:type="dxa"/>
            <w:vAlign w:val="bottom"/>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Operating Engineers Trust Fund</w:t>
            </w:r>
          </w:p>
        </w:tc>
        <w:tc>
          <w:tcPr>
            <w:tcW w:w="920" w:type="dxa"/>
            <w:vAlign w:val="bottom"/>
            <w:gridSpan w:val="2"/>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95-6032478</w:t>
            </w:r>
          </w:p>
        </w:tc>
        <w:tc>
          <w:tcPr>
            <w:tcW w:w="100" w:type="dxa"/>
            <w:vAlign w:val="bottom"/>
          </w:tcPr>
          <w:p>
            <w:pPr>
              <w:spacing w:after="0"/>
              <w:rPr>
                <w:sz w:val="11"/>
                <w:szCs w:val="11"/>
                <w:color w:val="auto"/>
              </w:rPr>
            </w:pPr>
          </w:p>
        </w:tc>
        <w:tc>
          <w:tcPr>
            <w:tcW w:w="5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823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986</w:t>
            </w:r>
          </w:p>
        </w:tc>
        <w:tc>
          <w:tcPr>
            <w:tcW w:w="200" w:type="dxa"/>
            <w:vAlign w:val="bottom"/>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Southwest Carpenters Pension Fund</w:t>
            </w:r>
          </w:p>
        </w:tc>
        <w:tc>
          <w:tcPr>
            <w:tcW w:w="920" w:type="dxa"/>
            <w:vAlign w:val="bottom"/>
            <w:gridSpan w:val="2"/>
            <w:shd w:val="clear" w:color="auto" w:fill="E9E9E9"/>
          </w:tcPr>
          <w:p>
            <w:pPr>
              <w:jc w:val="center"/>
              <w:ind w:left="35"/>
              <w:spacing w:after="0"/>
              <w:rPr>
                <w:sz w:val="20"/>
                <w:szCs w:val="20"/>
                <w:color w:val="auto"/>
              </w:rPr>
            </w:pPr>
            <w:r>
              <w:rPr>
                <w:rFonts w:ascii="Times New Roman" w:cs="Times New Roman" w:eastAsia="Times New Roman" w:hAnsi="Times New Roman"/>
                <w:sz w:val="13"/>
                <w:szCs w:val="13"/>
                <w:color w:val="auto"/>
                <w:w w:val="98"/>
              </w:rPr>
              <w:t>95-6042875</w:t>
            </w:r>
          </w:p>
        </w:tc>
        <w:tc>
          <w:tcPr>
            <w:tcW w:w="100" w:type="dxa"/>
            <w:vAlign w:val="bottom"/>
            <w:shd w:val="clear" w:color="auto" w:fill="E9E9E9"/>
          </w:tcPr>
          <w:p>
            <w:pPr>
              <w:spacing w:after="0"/>
              <w:rPr>
                <w:sz w:val="12"/>
                <w:szCs w:val="12"/>
                <w:color w:val="auto"/>
              </w:rPr>
            </w:pPr>
          </w:p>
        </w:tc>
        <w:tc>
          <w:tcPr>
            <w:tcW w:w="580" w:type="dxa"/>
            <w:vAlign w:val="bottom"/>
            <w:shd w:val="clear" w:color="auto" w:fill="E9E9E9"/>
          </w:tcPr>
          <w:p>
            <w:pPr>
              <w:jc w:val="center"/>
              <w:ind w:left="155"/>
              <w:spacing w:after="0"/>
              <w:rPr>
                <w:sz w:val="20"/>
                <w:szCs w:val="20"/>
                <w:color w:val="auto"/>
              </w:rPr>
            </w:pPr>
            <w:r>
              <w:rPr>
                <w:rFonts w:ascii="Times New Roman" w:cs="Times New Roman" w:eastAsia="Times New Roman" w:hAnsi="Times New Roman"/>
                <w:sz w:val="13"/>
                <w:szCs w:val="13"/>
                <w:color w:val="auto"/>
              </w:rPr>
              <w:t>Green</w:t>
            </w:r>
          </w:p>
        </w:tc>
        <w:tc>
          <w:tcPr>
            <w:tcW w:w="220" w:type="dxa"/>
            <w:vAlign w:val="bottom"/>
            <w:shd w:val="clear" w:color="auto" w:fill="E9E9E9"/>
          </w:tcPr>
          <w:p>
            <w:pPr>
              <w:spacing w:after="0"/>
              <w:rPr>
                <w:sz w:val="12"/>
                <w:szCs w:val="12"/>
                <w:color w:val="auto"/>
              </w:rPr>
            </w:pPr>
          </w:p>
        </w:tc>
        <w:tc>
          <w:tcPr>
            <w:tcW w:w="80" w:type="dxa"/>
            <w:vAlign w:val="bottom"/>
            <w:shd w:val="clear" w:color="auto" w:fill="E9E9E9"/>
          </w:tcPr>
          <w:p>
            <w:pPr>
              <w:spacing w:after="0"/>
              <w:rPr>
                <w:sz w:val="12"/>
                <w:szCs w:val="12"/>
                <w:color w:val="auto"/>
              </w:rPr>
            </w:pPr>
          </w:p>
        </w:tc>
        <w:tc>
          <w:tcPr>
            <w:tcW w:w="740" w:type="dxa"/>
            <w:vAlign w:val="bottom"/>
            <w:shd w:val="clear" w:color="auto" w:fill="E9E9E9"/>
          </w:tcPr>
          <w:p>
            <w:pPr>
              <w:jc w:val="center"/>
              <w:ind w:left="155"/>
              <w:spacing w:after="0"/>
              <w:rPr>
                <w:sz w:val="20"/>
                <w:szCs w:val="20"/>
                <w:color w:val="auto"/>
              </w:rPr>
            </w:pPr>
            <w:r>
              <w:rPr>
                <w:rFonts w:ascii="Times New Roman" w:cs="Times New Roman" w:eastAsia="Times New Roman" w:hAnsi="Times New Roman"/>
                <w:sz w:val="13"/>
                <w:szCs w:val="13"/>
                <w:color w:val="auto"/>
              </w:rPr>
              <w:t>Green</w:t>
            </w:r>
          </w:p>
        </w:tc>
        <w:tc>
          <w:tcPr>
            <w:tcW w:w="220" w:type="dxa"/>
            <w:vAlign w:val="bottom"/>
            <w:shd w:val="clear" w:color="auto" w:fill="E9E9E9"/>
          </w:tcPr>
          <w:p>
            <w:pPr>
              <w:spacing w:after="0"/>
              <w:rPr>
                <w:sz w:val="12"/>
                <w:szCs w:val="12"/>
                <w:color w:val="auto"/>
              </w:rPr>
            </w:pPr>
          </w:p>
        </w:tc>
        <w:tc>
          <w:tcPr>
            <w:tcW w:w="100" w:type="dxa"/>
            <w:vAlign w:val="bottom"/>
            <w:shd w:val="clear" w:color="auto" w:fill="E9E9E9"/>
          </w:tcPr>
          <w:p>
            <w:pPr>
              <w:spacing w:after="0"/>
              <w:rPr>
                <w:sz w:val="12"/>
                <w:szCs w:val="12"/>
                <w:color w:val="auto"/>
              </w:rPr>
            </w:pPr>
          </w:p>
        </w:tc>
        <w:tc>
          <w:tcPr>
            <w:tcW w:w="1140" w:type="dxa"/>
            <w:vAlign w:val="bottom"/>
            <w:gridSpan w:val="2"/>
            <w:shd w:val="clear" w:color="auto" w:fill="E9E9E9"/>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E9E9E9"/>
          </w:tcPr>
          <w:p>
            <w:pPr>
              <w:spacing w:after="0"/>
              <w:rPr>
                <w:sz w:val="12"/>
                <w:szCs w:val="12"/>
                <w:color w:val="auto"/>
              </w:rPr>
            </w:pPr>
          </w:p>
        </w:tc>
        <w:tc>
          <w:tcPr>
            <w:tcW w:w="6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200" w:type="dxa"/>
            <w:vAlign w:val="bottom"/>
            <w:shd w:val="clear" w:color="auto" w:fill="E9E9E9"/>
          </w:tcPr>
          <w:p>
            <w:pPr>
              <w:spacing w:after="0"/>
              <w:rPr>
                <w:sz w:val="12"/>
                <w:szCs w:val="12"/>
                <w:color w:val="auto"/>
              </w:rPr>
            </w:pPr>
          </w:p>
        </w:tc>
        <w:tc>
          <w:tcPr>
            <w:tcW w:w="160" w:type="dxa"/>
            <w:vAlign w:val="bottom"/>
            <w:shd w:val="clear" w:color="auto" w:fill="E9E9E9"/>
          </w:tcPr>
          <w:p>
            <w:pPr>
              <w:spacing w:after="0"/>
              <w:rPr>
                <w:sz w:val="12"/>
                <w:szCs w:val="12"/>
                <w:color w:val="auto"/>
              </w:rPr>
            </w:pPr>
          </w:p>
        </w:tc>
        <w:tc>
          <w:tcPr>
            <w:tcW w:w="6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200" w:type="dxa"/>
            <w:vAlign w:val="bottom"/>
            <w:shd w:val="clear" w:color="auto" w:fill="E9E9E9"/>
          </w:tcPr>
          <w:p>
            <w:pPr>
              <w:spacing w:after="0"/>
              <w:rPr>
                <w:sz w:val="12"/>
                <w:szCs w:val="12"/>
                <w:color w:val="auto"/>
              </w:rPr>
            </w:pPr>
          </w:p>
        </w:tc>
        <w:tc>
          <w:tcPr>
            <w:tcW w:w="6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37"/>
        </w:trPr>
        <w:tc>
          <w:tcPr>
            <w:tcW w:w="27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San Diego County Construction Laborers Pension</w:t>
            </w:r>
          </w:p>
        </w:tc>
        <w:tc>
          <w:tcPr>
            <w:tcW w:w="920" w:type="dxa"/>
            <w:vAlign w:val="bottom"/>
            <w:gridSpan w:val="2"/>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95-6090541</w:t>
            </w:r>
          </w:p>
        </w:tc>
        <w:tc>
          <w:tcPr>
            <w:tcW w:w="100" w:type="dxa"/>
            <w:vAlign w:val="bottom"/>
          </w:tcPr>
          <w:p>
            <w:pPr>
              <w:spacing w:after="0"/>
              <w:rPr>
                <w:sz w:val="11"/>
                <w:szCs w:val="11"/>
                <w:color w:val="auto"/>
              </w:rPr>
            </w:pPr>
          </w:p>
        </w:tc>
        <w:tc>
          <w:tcPr>
            <w:tcW w:w="580" w:type="dxa"/>
            <w:vAlign w:val="bottom"/>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580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343</w:t>
            </w:r>
          </w:p>
        </w:tc>
        <w:tc>
          <w:tcPr>
            <w:tcW w:w="200" w:type="dxa"/>
            <w:vAlign w:val="bottom"/>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Trust Fund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Construction Laborers Pension Trust for Southern</w:t>
            </w:r>
          </w:p>
        </w:tc>
        <w:tc>
          <w:tcPr>
            <w:tcW w:w="920" w:type="dxa"/>
            <w:vAlign w:val="bottom"/>
            <w:gridSpan w:val="2"/>
            <w:shd w:val="clear" w:color="auto" w:fill="E9E9E9"/>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43-6159056</w:t>
            </w:r>
          </w:p>
        </w:tc>
        <w:tc>
          <w:tcPr>
            <w:tcW w:w="100" w:type="dxa"/>
            <w:vAlign w:val="bottom"/>
            <w:shd w:val="clear" w:color="auto" w:fill="E9E9E9"/>
          </w:tcPr>
          <w:p>
            <w:pPr>
              <w:spacing w:after="0"/>
              <w:rPr>
                <w:sz w:val="11"/>
                <w:szCs w:val="11"/>
                <w:color w:val="auto"/>
              </w:rPr>
            </w:pPr>
          </w:p>
        </w:tc>
        <w:tc>
          <w:tcPr>
            <w:tcW w:w="58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40" w:type="dxa"/>
            <w:vAlign w:val="bottom"/>
            <w:shd w:val="clear" w:color="auto" w:fill="E9E9E9"/>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shd w:val="clear" w:color="auto" w:fill="E9E9E9"/>
          </w:tcPr>
          <w:p>
            <w:pPr>
              <w:spacing w:after="0"/>
              <w:rPr>
                <w:sz w:val="11"/>
                <w:szCs w:val="11"/>
                <w:color w:val="auto"/>
              </w:rPr>
            </w:pPr>
          </w:p>
        </w:tc>
        <w:tc>
          <w:tcPr>
            <w:tcW w:w="100" w:type="dxa"/>
            <w:vAlign w:val="bottom"/>
            <w:shd w:val="clear" w:color="auto" w:fill="E9E9E9"/>
          </w:tcPr>
          <w:p>
            <w:pPr>
              <w:spacing w:after="0"/>
              <w:rPr>
                <w:sz w:val="11"/>
                <w:szCs w:val="11"/>
                <w:color w:val="auto"/>
              </w:rPr>
            </w:pPr>
          </w:p>
        </w:tc>
        <w:tc>
          <w:tcPr>
            <w:tcW w:w="1140" w:type="dxa"/>
            <w:vAlign w:val="bottom"/>
            <w:gridSpan w:val="2"/>
            <w:shd w:val="clear" w:color="auto" w:fill="E9E9E9"/>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E9E9E9"/>
          </w:tcPr>
          <w:p>
            <w:pPr>
              <w:spacing w:after="0"/>
              <w:rPr>
                <w:sz w:val="11"/>
                <w:szCs w:val="11"/>
                <w:color w:val="auto"/>
              </w:rPr>
            </w:pPr>
          </w:p>
        </w:tc>
        <w:tc>
          <w:tcPr>
            <w:tcW w:w="66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566</w:t>
            </w:r>
          </w:p>
        </w:tc>
        <w:tc>
          <w:tcPr>
            <w:tcW w:w="200" w:type="dxa"/>
            <w:vAlign w:val="bottom"/>
            <w:shd w:val="clear" w:color="auto" w:fill="E9E9E9"/>
          </w:tcPr>
          <w:p>
            <w:pPr>
              <w:spacing w:after="0"/>
              <w:rPr>
                <w:sz w:val="11"/>
                <w:szCs w:val="11"/>
                <w:color w:val="auto"/>
              </w:rPr>
            </w:pPr>
          </w:p>
        </w:tc>
        <w:tc>
          <w:tcPr>
            <w:tcW w:w="160" w:type="dxa"/>
            <w:vAlign w:val="bottom"/>
            <w:shd w:val="clear" w:color="auto" w:fill="E9E9E9"/>
          </w:tcPr>
          <w:p>
            <w:pPr>
              <w:spacing w:after="0"/>
              <w:rPr>
                <w:sz w:val="11"/>
                <w:szCs w:val="11"/>
                <w:color w:val="auto"/>
              </w:rPr>
            </w:pPr>
          </w:p>
        </w:tc>
        <w:tc>
          <w:tcPr>
            <w:tcW w:w="60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1,060</w:t>
            </w:r>
          </w:p>
        </w:tc>
        <w:tc>
          <w:tcPr>
            <w:tcW w:w="200" w:type="dxa"/>
            <w:vAlign w:val="bottom"/>
            <w:shd w:val="clear" w:color="auto" w:fill="E9E9E9"/>
          </w:tcPr>
          <w:p>
            <w:pPr>
              <w:spacing w:after="0"/>
              <w:rPr>
                <w:sz w:val="11"/>
                <w:szCs w:val="11"/>
                <w:color w:val="auto"/>
              </w:rPr>
            </w:pPr>
          </w:p>
        </w:tc>
        <w:tc>
          <w:tcPr>
            <w:tcW w:w="620" w:type="dxa"/>
            <w:vAlign w:val="bottom"/>
            <w:shd w:val="clear" w:color="auto" w:fill="E9E9E9"/>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California</w:t>
            </w:r>
          </w:p>
        </w:tc>
        <w:tc>
          <w:tcPr>
            <w:tcW w:w="80" w:type="dxa"/>
            <w:vAlign w:val="bottom"/>
            <w:shd w:val="clear" w:color="auto" w:fill="E9E9E9"/>
          </w:tcPr>
          <w:p>
            <w:pPr>
              <w:spacing w:after="0"/>
              <w:rPr>
                <w:sz w:val="14"/>
                <w:szCs w:val="14"/>
                <w:color w:val="auto"/>
              </w:rPr>
            </w:pPr>
          </w:p>
        </w:tc>
        <w:tc>
          <w:tcPr>
            <w:tcW w:w="8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58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74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10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6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0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620" w:type="dxa"/>
            <w:vAlign w:val="bottom"/>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Southern California IBEW-NECA Pension Trust</w:t>
            </w:r>
          </w:p>
        </w:tc>
        <w:tc>
          <w:tcPr>
            <w:tcW w:w="920" w:type="dxa"/>
            <w:vAlign w:val="bottom"/>
            <w:gridSpan w:val="2"/>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95-6392774</w:t>
            </w:r>
          </w:p>
        </w:tc>
        <w:tc>
          <w:tcPr>
            <w:tcW w:w="100" w:type="dxa"/>
            <w:vAlign w:val="bottom"/>
          </w:tcPr>
          <w:p>
            <w:pPr>
              <w:spacing w:after="0"/>
              <w:rPr>
                <w:sz w:val="11"/>
                <w:szCs w:val="11"/>
                <w:color w:val="auto"/>
              </w:rPr>
            </w:pPr>
          </w:p>
        </w:tc>
        <w:tc>
          <w:tcPr>
            <w:tcW w:w="5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175"/>
              <w:spacing w:after="0" w:line="137" w:lineRule="exact"/>
              <w:rPr>
                <w:sz w:val="20"/>
                <w:szCs w:val="20"/>
                <w:color w:val="auto"/>
              </w:rPr>
            </w:pPr>
            <w:r>
              <w:rPr>
                <w:rFonts w:ascii="Times New Roman" w:cs="Times New Roman" w:eastAsia="Times New Roman" w:hAnsi="Times New Roman"/>
                <w:sz w:val="13"/>
                <w:szCs w:val="13"/>
                <w:color w:val="auto"/>
                <w:w w:val="99"/>
              </w:rPr>
              <w:t>Yellow</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497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703</w:t>
            </w:r>
          </w:p>
        </w:tc>
        <w:tc>
          <w:tcPr>
            <w:tcW w:w="200" w:type="dxa"/>
            <w:vAlign w:val="bottom"/>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Fund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IBEW Local 595 Pension Plan</w:t>
            </w:r>
          </w:p>
        </w:tc>
        <w:tc>
          <w:tcPr>
            <w:tcW w:w="920" w:type="dxa"/>
            <w:vAlign w:val="bottom"/>
            <w:gridSpan w:val="2"/>
            <w:shd w:val="clear" w:color="auto" w:fill="E9E9E9"/>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94-6279541</w:t>
            </w:r>
          </w:p>
        </w:tc>
        <w:tc>
          <w:tcPr>
            <w:tcW w:w="100" w:type="dxa"/>
            <w:vAlign w:val="bottom"/>
            <w:shd w:val="clear" w:color="auto" w:fill="E9E9E9"/>
          </w:tcPr>
          <w:p>
            <w:pPr>
              <w:spacing w:after="0"/>
              <w:rPr>
                <w:sz w:val="11"/>
                <w:szCs w:val="11"/>
                <w:color w:val="auto"/>
              </w:rPr>
            </w:pPr>
          </w:p>
        </w:tc>
        <w:tc>
          <w:tcPr>
            <w:tcW w:w="58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40" w:type="dxa"/>
            <w:vAlign w:val="bottom"/>
            <w:shd w:val="clear" w:color="auto" w:fill="E9E9E9"/>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shd w:val="clear" w:color="auto" w:fill="E9E9E9"/>
          </w:tcPr>
          <w:p>
            <w:pPr>
              <w:spacing w:after="0"/>
              <w:rPr>
                <w:sz w:val="11"/>
                <w:szCs w:val="11"/>
                <w:color w:val="auto"/>
              </w:rPr>
            </w:pPr>
          </w:p>
        </w:tc>
        <w:tc>
          <w:tcPr>
            <w:tcW w:w="100" w:type="dxa"/>
            <w:vAlign w:val="bottom"/>
            <w:shd w:val="clear" w:color="auto" w:fill="E9E9E9"/>
          </w:tcPr>
          <w:p>
            <w:pPr>
              <w:spacing w:after="0"/>
              <w:rPr>
                <w:sz w:val="11"/>
                <w:szCs w:val="11"/>
                <w:color w:val="auto"/>
              </w:rPr>
            </w:pPr>
          </w:p>
        </w:tc>
        <w:tc>
          <w:tcPr>
            <w:tcW w:w="1140" w:type="dxa"/>
            <w:vAlign w:val="bottom"/>
            <w:gridSpan w:val="2"/>
            <w:shd w:val="clear" w:color="auto" w:fill="E9E9E9"/>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E9E9E9"/>
          </w:tcPr>
          <w:p>
            <w:pPr>
              <w:spacing w:after="0"/>
              <w:rPr>
                <w:sz w:val="11"/>
                <w:szCs w:val="11"/>
                <w:color w:val="auto"/>
              </w:rPr>
            </w:pPr>
          </w:p>
        </w:tc>
        <w:tc>
          <w:tcPr>
            <w:tcW w:w="66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297</w:t>
            </w:r>
          </w:p>
        </w:tc>
        <w:tc>
          <w:tcPr>
            <w:tcW w:w="200" w:type="dxa"/>
            <w:vAlign w:val="bottom"/>
            <w:shd w:val="clear" w:color="auto" w:fill="E9E9E9"/>
          </w:tcPr>
          <w:p>
            <w:pPr>
              <w:spacing w:after="0"/>
              <w:rPr>
                <w:sz w:val="11"/>
                <w:szCs w:val="11"/>
                <w:color w:val="auto"/>
              </w:rPr>
            </w:pPr>
          </w:p>
        </w:tc>
        <w:tc>
          <w:tcPr>
            <w:tcW w:w="160" w:type="dxa"/>
            <w:vAlign w:val="bottom"/>
            <w:shd w:val="clear" w:color="auto" w:fill="E9E9E9"/>
          </w:tcPr>
          <w:p>
            <w:pPr>
              <w:spacing w:after="0"/>
              <w:rPr>
                <w:sz w:val="11"/>
                <w:szCs w:val="11"/>
                <w:color w:val="auto"/>
              </w:rPr>
            </w:pPr>
          </w:p>
        </w:tc>
        <w:tc>
          <w:tcPr>
            <w:tcW w:w="60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503</w:t>
            </w:r>
          </w:p>
        </w:tc>
        <w:tc>
          <w:tcPr>
            <w:tcW w:w="200" w:type="dxa"/>
            <w:vAlign w:val="bottom"/>
            <w:shd w:val="clear" w:color="auto" w:fill="E9E9E9"/>
          </w:tcPr>
          <w:p>
            <w:pPr>
              <w:spacing w:after="0"/>
              <w:rPr>
                <w:sz w:val="11"/>
                <w:szCs w:val="11"/>
                <w:color w:val="auto"/>
              </w:rPr>
            </w:pPr>
          </w:p>
        </w:tc>
        <w:tc>
          <w:tcPr>
            <w:tcW w:w="620" w:type="dxa"/>
            <w:vAlign w:val="bottom"/>
            <w:shd w:val="clear" w:color="auto" w:fill="E9E9E9"/>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8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58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74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10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6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0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620" w:type="dxa"/>
            <w:vAlign w:val="bottom"/>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San Diego Electrical Pension Plan</w:t>
            </w:r>
          </w:p>
        </w:tc>
        <w:tc>
          <w:tcPr>
            <w:tcW w:w="920" w:type="dxa"/>
            <w:vAlign w:val="bottom"/>
            <w:gridSpan w:val="2"/>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95-6101801</w:t>
            </w:r>
          </w:p>
        </w:tc>
        <w:tc>
          <w:tcPr>
            <w:tcW w:w="100" w:type="dxa"/>
            <w:vAlign w:val="bottom"/>
          </w:tcPr>
          <w:p>
            <w:pPr>
              <w:spacing w:after="0"/>
              <w:rPr>
                <w:sz w:val="11"/>
                <w:szCs w:val="11"/>
                <w:color w:val="auto"/>
              </w:rPr>
            </w:pPr>
          </w:p>
        </w:tc>
        <w:tc>
          <w:tcPr>
            <w:tcW w:w="5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268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148</w:t>
            </w:r>
          </w:p>
        </w:tc>
        <w:tc>
          <w:tcPr>
            <w:tcW w:w="200" w:type="dxa"/>
            <w:vAlign w:val="bottom"/>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San Diego County Cement Masons Pension Plan</w:t>
            </w:r>
          </w:p>
        </w:tc>
        <w:tc>
          <w:tcPr>
            <w:tcW w:w="920" w:type="dxa"/>
            <w:vAlign w:val="bottom"/>
            <w:gridSpan w:val="2"/>
            <w:shd w:val="clear" w:color="auto" w:fill="E9E9E9"/>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95-6267660</w:t>
            </w:r>
          </w:p>
        </w:tc>
        <w:tc>
          <w:tcPr>
            <w:tcW w:w="100" w:type="dxa"/>
            <w:vAlign w:val="bottom"/>
            <w:shd w:val="clear" w:color="auto" w:fill="E9E9E9"/>
          </w:tcPr>
          <w:p>
            <w:pPr>
              <w:spacing w:after="0"/>
              <w:rPr>
                <w:sz w:val="11"/>
                <w:szCs w:val="11"/>
                <w:color w:val="auto"/>
              </w:rPr>
            </w:pPr>
          </w:p>
        </w:tc>
        <w:tc>
          <w:tcPr>
            <w:tcW w:w="580" w:type="dxa"/>
            <w:vAlign w:val="bottom"/>
            <w:shd w:val="clear" w:color="auto" w:fill="E9E9E9"/>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40" w:type="dxa"/>
            <w:vAlign w:val="bottom"/>
            <w:shd w:val="clear" w:color="auto" w:fill="E9E9E9"/>
          </w:tcPr>
          <w:p>
            <w:pPr>
              <w:jc w:val="center"/>
              <w:ind w:left="175"/>
              <w:spacing w:after="0" w:line="137" w:lineRule="exact"/>
              <w:rPr>
                <w:sz w:val="20"/>
                <w:szCs w:val="20"/>
                <w:color w:val="auto"/>
              </w:rPr>
            </w:pPr>
            <w:r>
              <w:rPr>
                <w:rFonts w:ascii="Times New Roman" w:cs="Times New Roman" w:eastAsia="Times New Roman" w:hAnsi="Times New Roman"/>
                <w:sz w:val="13"/>
                <w:szCs w:val="13"/>
                <w:color w:val="auto"/>
                <w:w w:val="99"/>
              </w:rPr>
              <w:t>Yellow</w:t>
            </w:r>
          </w:p>
        </w:tc>
        <w:tc>
          <w:tcPr>
            <w:tcW w:w="220" w:type="dxa"/>
            <w:vAlign w:val="bottom"/>
            <w:shd w:val="clear" w:color="auto" w:fill="E9E9E9"/>
          </w:tcPr>
          <w:p>
            <w:pPr>
              <w:spacing w:after="0"/>
              <w:rPr>
                <w:sz w:val="11"/>
                <w:szCs w:val="11"/>
                <w:color w:val="auto"/>
              </w:rPr>
            </w:pPr>
          </w:p>
        </w:tc>
        <w:tc>
          <w:tcPr>
            <w:tcW w:w="100" w:type="dxa"/>
            <w:vAlign w:val="bottom"/>
            <w:shd w:val="clear" w:color="auto" w:fill="E9E9E9"/>
          </w:tcPr>
          <w:p>
            <w:pPr>
              <w:spacing w:after="0"/>
              <w:rPr>
                <w:sz w:val="11"/>
                <w:szCs w:val="11"/>
                <w:color w:val="auto"/>
              </w:rPr>
            </w:pPr>
          </w:p>
        </w:tc>
        <w:tc>
          <w:tcPr>
            <w:tcW w:w="1140" w:type="dxa"/>
            <w:vAlign w:val="bottom"/>
            <w:gridSpan w:val="2"/>
            <w:shd w:val="clear" w:color="auto" w:fill="E9E9E9"/>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E9E9E9"/>
          </w:tcPr>
          <w:p>
            <w:pPr>
              <w:spacing w:after="0"/>
              <w:rPr>
                <w:sz w:val="11"/>
                <w:szCs w:val="11"/>
                <w:color w:val="auto"/>
              </w:rPr>
            </w:pPr>
          </w:p>
        </w:tc>
        <w:tc>
          <w:tcPr>
            <w:tcW w:w="66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209</w:t>
            </w:r>
          </w:p>
        </w:tc>
        <w:tc>
          <w:tcPr>
            <w:tcW w:w="200" w:type="dxa"/>
            <w:vAlign w:val="bottom"/>
            <w:shd w:val="clear" w:color="auto" w:fill="E9E9E9"/>
          </w:tcPr>
          <w:p>
            <w:pPr>
              <w:spacing w:after="0"/>
              <w:rPr>
                <w:sz w:val="11"/>
                <w:szCs w:val="11"/>
                <w:color w:val="auto"/>
              </w:rPr>
            </w:pPr>
          </w:p>
        </w:tc>
        <w:tc>
          <w:tcPr>
            <w:tcW w:w="160" w:type="dxa"/>
            <w:vAlign w:val="bottom"/>
            <w:shd w:val="clear" w:color="auto" w:fill="E9E9E9"/>
          </w:tcPr>
          <w:p>
            <w:pPr>
              <w:spacing w:after="0"/>
              <w:rPr>
                <w:sz w:val="11"/>
                <w:szCs w:val="11"/>
                <w:color w:val="auto"/>
              </w:rPr>
            </w:pPr>
          </w:p>
        </w:tc>
        <w:tc>
          <w:tcPr>
            <w:tcW w:w="600" w:type="dxa"/>
            <w:vAlign w:val="bottom"/>
            <w:shd w:val="clear" w:color="auto" w:fill="E9E9E9"/>
          </w:tcPr>
          <w:p>
            <w:pPr>
              <w:jc w:val="right"/>
              <w:spacing w:after="0" w:line="137" w:lineRule="exact"/>
              <w:rPr>
                <w:sz w:val="20"/>
                <w:szCs w:val="20"/>
                <w:color w:val="auto"/>
              </w:rPr>
            </w:pPr>
            <w:r>
              <w:rPr>
                <w:rFonts w:ascii="Times New Roman" w:cs="Times New Roman" w:eastAsia="Times New Roman" w:hAnsi="Times New Roman"/>
                <w:sz w:val="13"/>
                <w:szCs w:val="13"/>
                <w:color w:val="auto"/>
              </w:rPr>
              <w:t>92</w:t>
            </w:r>
          </w:p>
        </w:tc>
        <w:tc>
          <w:tcPr>
            <w:tcW w:w="200" w:type="dxa"/>
            <w:vAlign w:val="bottom"/>
            <w:shd w:val="clear" w:color="auto" w:fill="E9E9E9"/>
          </w:tcPr>
          <w:p>
            <w:pPr>
              <w:spacing w:after="0"/>
              <w:rPr>
                <w:sz w:val="11"/>
                <w:szCs w:val="11"/>
                <w:color w:val="auto"/>
              </w:rPr>
            </w:pPr>
          </w:p>
        </w:tc>
        <w:tc>
          <w:tcPr>
            <w:tcW w:w="620" w:type="dxa"/>
            <w:vAlign w:val="bottom"/>
            <w:shd w:val="clear" w:color="auto" w:fill="E9E9E9"/>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8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580" w:type="dxa"/>
            <w:vAlign w:val="bottom"/>
            <w:shd w:val="clear" w:color="auto" w:fill="E9E9E9"/>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740" w:type="dxa"/>
            <w:vAlign w:val="bottom"/>
            <w:shd w:val="clear" w:color="auto" w:fill="E9E9E9"/>
          </w:tcPr>
          <w:p>
            <w:pPr>
              <w:spacing w:after="0"/>
              <w:rPr>
                <w:sz w:val="14"/>
                <w:szCs w:val="14"/>
                <w:color w:val="auto"/>
              </w:rPr>
            </w:pPr>
          </w:p>
        </w:tc>
        <w:tc>
          <w:tcPr>
            <w:tcW w:w="22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1040" w:type="dxa"/>
            <w:vAlign w:val="bottom"/>
            <w:shd w:val="clear" w:color="auto" w:fill="E9E9E9"/>
          </w:tcPr>
          <w:p>
            <w:pPr>
              <w:spacing w:after="0"/>
              <w:rPr>
                <w:sz w:val="14"/>
                <w:szCs w:val="14"/>
                <w:color w:val="auto"/>
              </w:rPr>
            </w:pPr>
          </w:p>
        </w:tc>
        <w:tc>
          <w:tcPr>
            <w:tcW w:w="100" w:type="dxa"/>
            <w:vAlign w:val="bottom"/>
            <w:shd w:val="clear" w:color="auto" w:fill="E9E9E9"/>
          </w:tcPr>
          <w:p>
            <w:pPr>
              <w:spacing w:after="0"/>
              <w:rPr>
                <w:sz w:val="14"/>
                <w:szCs w:val="14"/>
                <w:color w:val="auto"/>
              </w:rPr>
            </w:pPr>
          </w:p>
        </w:tc>
        <w:tc>
          <w:tcPr>
            <w:tcW w:w="80" w:type="dxa"/>
            <w:vAlign w:val="bottom"/>
            <w:shd w:val="clear" w:color="auto" w:fill="E9E9E9"/>
          </w:tcPr>
          <w:p>
            <w:pPr>
              <w:spacing w:after="0"/>
              <w:rPr>
                <w:sz w:val="14"/>
                <w:szCs w:val="14"/>
                <w:color w:val="auto"/>
              </w:rPr>
            </w:pPr>
          </w:p>
        </w:tc>
        <w:tc>
          <w:tcPr>
            <w:tcW w:w="66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160" w:type="dxa"/>
            <w:vAlign w:val="bottom"/>
            <w:shd w:val="clear" w:color="auto" w:fill="E9E9E9"/>
          </w:tcPr>
          <w:p>
            <w:pPr>
              <w:spacing w:after="0"/>
              <w:rPr>
                <w:sz w:val="14"/>
                <w:szCs w:val="14"/>
                <w:color w:val="auto"/>
              </w:rPr>
            </w:pPr>
          </w:p>
        </w:tc>
        <w:tc>
          <w:tcPr>
            <w:tcW w:w="600" w:type="dxa"/>
            <w:vAlign w:val="bottom"/>
            <w:shd w:val="clear" w:color="auto" w:fill="E9E9E9"/>
          </w:tcPr>
          <w:p>
            <w:pPr>
              <w:spacing w:after="0"/>
              <w:rPr>
                <w:sz w:val="14"/>
                <w:szCs w:val="14"/>
                <w:color w:val="auto"/>
              </w:rPr>
            </w:pPr>
          </w:p>
        </w:tc>
        <w:tc>
          <w:tcPr>
            <w:tcW w:w="200" w:type="dxa"/>
            <w:vAlign w:val="bottom"/>
            <w:shd w:val="clear" w:color="auto" w:fill="E9E9E9"/>
          </w:tcPr>
          <w:p>
            <w:pPr>
              <w:spacing w:after="0"/>
              <w:rPr>
                <w:sz w:val="14"/>
                <w:szCs w:val="14"/>
                <w:color w:val="auto"/>
              </w:rPr>
            </w:pPr>
          </w:p>
        </w:tc>
        <w:tc>
          <w:tcPr>
            <w:tcW w:w="620" w:type="dxa"/>
            <w:vAlign w:val="bottom"/>
            <w:shd w:val="clear" w:color="auto" w:fill="E9E9E9"/>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Northern California Pipe Trades Pension Plan</w:t>
            </w:r>
          </w:p>
        </w:tc>
        <w:tc>
          <w:tcPr>
            <w:tcW w:w="920" w:type="dxa"/>
            <w:vAlign w:val="bottom"/>
            <w:gridSpan w:val="2"/>
          </w:tcPr>
          <w:p>
            <w:pPr>
              <w:jc w:val="center"/>
              <w:ind w:left="35"/>
              <w:spacing w:after="0" w:line="137" w:lineRule="exact"/>
              <w:rPr>
                <w:sz w:val="20"/>
                <w:szCs w:val="20"/>
                <w:color w:val="auto"/>
              </w:rPr>
            </w:pPr>
            <w:r>
              <w:rPr>
                <w:rFonts w:ascii="Times New Roman" w:cs="Times New Roman" w:eastAsia="Times New Roman" w:hAnsi="Times New Roman"/>
                <w:sz w:val="13"/>
                <w:szCs w:val="13"/>
                <w:color w:val="auto"/>
                <w:w w:val="98"/>
              </w:rPr>
              <w:t>94-3190386</w:t>
            </w:r>
          </w:p>
        </w:tc>
        <w:tc>
          <w:tcPr>
            <w:tcW w:w="100" w:type="dxa"/>
            <w:vAlign w:val="bottom"/>
          </w:tcPr>
          <w:p>
            <w:pPr>
              <w:spacing w:after="0"/>
              <w:rPr>
                <w:sz w:val="11"/>
                <w:szCs w:val="11"/>
                <w:color w:val="auto"/>
              </w:rPr>
            </w:pPr>
          </w:p>
        </w:tc>
        <w:tc>
          <w:tcPr>
            <w:tcW w:w="5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Described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left="155"/>
              <w:spacing w:after="0" w:line="137" w:lineRule="exact"/>
              <w:rPr>
                <w:sz w:val="20"/>
                <w:szCs w:val="20"/>
                <w:color w:val="auto"/>
              </w:rPr>
            </w:pPr>
            <w:r>
              <w:rPr>
                <w:rFonts w:ascii="Times New Roman" w:cs="Times New Roman" w:eastAsia="Times New Roman" w:hAnsi="Times New Roman"/>
                <w:sz w:val="13"/>
                <w:szCs w:val="13"/>
                <w:color w:val="auto"/>
              </w:rPr>
              <w:t>Green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441</w:t>
            </w:r>
          </w:p>
        </w:tc>
        <w:tc>
          <w:tcPr>
            <w:tcW w:w="200" w:type="dxa"/>
            <w:vAlign w:val="bottom"/>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840" w:type="dxa"/>
            <w:vAlign w:val="bottom"/>
            <w:tcBorders>
              <w:bottom w:val="single" w:sz="8" w:color="E9E9E9"/>
            </w:tcBorders>
          </w:tcPr>
          <w:p>
            <w:pPr>
              <w:spacing w:after="0"/>
              <w:rPr>
                <w:sz w:val="14"/>
                <w:szCs w:val="14"/>
                <w:color w:val="auto"/>
              </w:rPr>
            </w:pPr>
          </w:p>
        </w:tc>
        <w:tc>
          <w:tcPr>
            <w:tcW w:w="100" w:type="dxa"/>
            <w:vAlign w:val="bottom"/>
            <w:tcBorders>
              <w:bottom w:val="single" w:sz="8" w:color="E9E9E9"/>
            </w:tcBorders>
          </w:tcPr>
          <w:p>
            <w:pPr>
              <w:spacing w:after="0"/>
              <w:rPr>
                <w:sz w:val="14"/>
                <w:szCs w:val="14"/>
                <w:color w:val="auto"/>
              </w:rPr>
            </w:pPr>
          </w:p>
        </w:tc>
        <w:tc>
          <w:tcPr>
            <w:tcW w:w="580" w:type="dxa"/>
            <w:vAlign w:val="bottom"/>
            <w:tcBorders>
              <w:bottom w:val="single" w:sz="8" w:color="E9E9E9"/>
            </w:tcBorders>
          </w:tcPr>
          <w:p>
            <w:pPr>
              <w:spacing w:after="0"/>
              <w:rPr>
                <w:sz w:val="20"/>
                <w:szCs w:val="20"/>
                <w:color w:val="auto"/>
              </w:rPr>
            </w:pPr>
            <w:r>
              <w:rPr>
                <w:rFonts w:ascii="Times New Roman" w:cs="Times New Roman" w:eastAsia="Times New Roman" w:hAnsi="Times New Roman"/>
                <w:sz w:val="13"/>
                <w:szCs w:val="13"/>
                <w:color w:val="auto"/>
              </w:rPr>
              <w:t>below (1)</w:t>
            </w:r>
          </w:p>
        </w:tc>
        <w:tc>
          <w:tcPr>
            <w:tcW w:w="220" w:type="dxa"/>
            <w:vAlign w:val="bottom"/>
            <w:tcBorders>
              <w:bottom w:val="single" w:sz="8" w:color="E9E9E9"/>
            </w:tcBorders>
          </w:tcPr>
          <w:p>
            <w:pPr>
              <w:spacing w:after="0"/>
              <w:rPr>
                <w:sz w:val="14"/>
                <w:szCs w:val="14"/>
                <w:color w:val="auto"/>
              </w:rPr>
            </w:pPr>
          </w:p>
        </w:tc>
        <w:tc>
          <w:tcPr>
            <w:tcW w:w="80" w:type="dxa"/>
            <w:vAlign w:val="bottom"/>
            <w:tcBorders>
              <w:bottom w:val="single" w:sz="8" w:color="E9E9E9"/>
            </w:tcBorders>
          </w:tcPr>
          <w:p>
            <w:pPr>
              <w:spacing w:after="0"/>
              <w:rPr>
                <w:sz w:val="14"/>
                <w:szCs w:val="14"/>
                <w:color w:val="auto"/>
              </w:rPr>
            </w:pPr>
          </w:p>
        </w:tc>
        <w:tc>
          <w:tcPr>
            <w:tcW w:w="740" w:type="dxa"/>
            <w:vAlign w:val="bottom"/>
            <w:tcBorders>
              <w:bottom w:val="single" w:sz="8" w:color="E9E9E9"/>
            </w:tcBorders>
          </w:tcPr>
          <w:p>
            <w:pPr>
              <w:spacing w:after="0"/>
              <w:rPr>
                <w:sz w:val="14"/>
                <w:szCs w:val="14"/>
                <w:color w:val="auto"/>
              </w:rPr>
            </w:pPr>
          </w:p>
        </w:tc>
        <w:tc>
          <w:tcPr>
            <w:tcW w:w="220" w:type="dxa"/>
            <w:vAlign w:val="bottom"/>
            <w:tcBorders>
              <w:bottom w:val="single" w:sz="8" w:color="E9E9E9"/>
            </w:tcBorders>
          </w:tcPr>
          <w:p>
            <w:pPr>
              <w:spacing w:after="0"/>
              <w:rPr>
                <w:sz w:val="14"/>
                <w:szCs w:val="14"/>
                <w:color w:val="auto"/>
              </w:rPr>
            </w:pPr>
          </w:p>
        </w:tc>
        <w:tc>
          <w:tcPr>
            <w:tcW w:w="100" w:type="dxa"/>
            <w:vAlign w:val="bottom"/>
            <w:tcBorders>
              <w:bottom w:val="single" w:sz="8" w:color="E9E9E9"/>
            </w:tcBorders>
          </w:tcPr>
          <w:p>
            <w:pPr>
              <w:spacing w:after="0"/>
              <w:rPr>
                <w:sz w:val="14"/>
                <w:szCs w:val="14"/>
                <w:color w:val="auto"/>
              </w:rPr>
            </w:pPr>
          </w:p>
        </w:tc>
        <w:tc>
          <w:tcPr>
            <w:tcW w:w="1040" w:type="dxa"/>
            <w:vAlign w:val="bottom"/>
            <w:tcBorders>
              <w:bottom w:val="single" w:sz="8" w:color="E9E9E9"/>
            </w:tcBorders>
          </w:tcPr>
          <w:p>
            <w:pPr>
              <w:spacing w:after="0"/>
              <w:rPr>
                <w:sz w:val="14"/>
                <w:szCs w:val="14"/>
                <w:color w:val="auto"/>
              </w:rPr>
            </w:pPr>
          </w:p>
        </w:tc>
        <w:tc>
          <w:tcPr>
            <w:tcW w:w="100" w:type="dxa"/>
            <w:vAlign w:val="bottom"/>
            <w:tcBorders>
              <w:bottom w:val="single" w:sz="8" w:color="E9E9E9"/>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E9E9E9"/>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E9E9E9"/>
            </w:tcBorders>
          </w:tcPr>
          <w:p>
            <w:pPr>
              <w:spacing w:after="0"/>
              <w:rPr>
                <w:sz w:val="14"/>
                <w:szCs w:val="14"/>
                <w:color w:val="auto"/>
              </w:rPr>
            </w:pPr>
          </w:p>
        </w:tc>
        <w:tc>
          <w:tcPr>
            <w:tcW w:w="620" w:type="dxa"/>
            <w:vAlign w:val="bottom"/>
            <w:tcBorders>
              <w:bottom w:val="single" w:sz="8" w:color="E9E9E9"/>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40" w:type="dxa"/>
            <w:vAlign w:val="bottom"/>
            <w:tcBorders>
              <w:bottom w:val="single" w:sz="8" w:color="E9E9E9"/>
            </w:tcBorders>
            <w:shd w:val="clear" w:color="auto" w:fill="E9E9E9"/>
          </w:tcPr>
          <w:p>
            <w:pPr>
              <w:spacing w:after="0"/>
              <w:rPr>
                <w:sz w:val="13"/>
                <w:szCs w:val="13"/>
                <w:color w:val="auto"/>
              </w:rPr>
            </w:pPr>
          </w:p>
        </w:tc>
        <w:tc>
          <w:tcPr>
            <w:tcW w:w="80" w:type="dxa"/>
            <w:vAlign w:val="bottom"/>
            <w:tcBorders>
              <w:bottom w:val="single" w:sz="8" w:color="E9E9E9"/>
            </w:tcBorders>
            <w:shd w:val="clear" w:color="auto" w:fill="E9E9E9"/>
          </w:tcPr>
          <w:p>
            <w:pPr>
              <w:spacing w:after="0"/>
              <w:rPr>
                <w:sz w:val="13"/>
                <w:szCs w:val="13"/>
                <w:color w:val="auto"/>
              </w:rPr>
            </w:pPr>
          </w:p>
        </w:tc>
        <w:tc>
          <w:tcPr>
            <w:tcW w:w="840" w:type="dxa"/>
            <w:vAlign w:val="bottom"/>
            <w:tcBorders>
              <w:bottom w:val="single" w:sz="8" w:color="E9E9E9"/>
            </w:tcBorders>
            <w:shd w:val="clear" w:color="auto" w:fill="E9E9E9"/>
          </w:tcPr>
          <w:p>
            <w:pPr>
              <w:spacing w:after="0"/>
              <w:rPr>
                <w:sz w:val="13"/>
                <w:szCs w:val="13"/>
                <w:color w:val="auto"/>
              </w:rPr>
            </w:pPr>
          </w:p>
        </w:tc>
        <w:tc>
          <w:tcPr>
            <w:tcW w:w="100" w:type="dxa"/>
            <w:vAlign w:val="bottom"/>
            <w:tcBorders>
              <w:bottom w:val="single" w:sz="8" w:color="E9E9E9"/>
            </w:tcBorders>
            <w:shd w:val="clear" w:color="auto" w:fill="E9E9E9"/>
          </w:tcPr>
          <w:p>
            <w:pPr>
              <w:spacing w:after="0"/>
              <w:rPr>
                <w:sz w:val="13"/>
                <w:szCs w:val="13"/>
                <w:color w:val="auto"/>
              </w:rPr>
            </w:pPr>
          </w:p>
        </w:tc>
        <w:tc>
          <w:tcPr>
            <w:tcW w:w="580" w:type="dxa"/>
            <w:vAlign w:val="bottom"/>
            <w:tcBorders>
              <w:bottom w:val="single" w:sz="8" w:color="E9E9E9"/>
            </w:tcBorders>
            <w:shd w:val="clear" w:color="auto" w:fill="E9E9E9"/>
          </w:tcPr>
          <w:p>
            <w:pPr>
              <w:spacing w:after="0"/>
              <w:rPr>
                <w:sz w:val="13"/>
                <w:szCs w:val="13"/>
                <w:color w:val="auto"/>
              </w:rPr>
            </w:pPr>
          </w:p>
        </w:tc>
        <w:tc>
          <w:tcPr>
            <w:tcW w:w="2400" w:type="dxa"/>
            <w:vAlign w:val="bottom"/>
            <w:tcBorders>
              <w:bottom w:val="single" w:sz="8" w:color="E9E9E9"/>
            </w:tcBorders>
            <w:gridSpan w:val="6"/>
            <w:shd w:val="clear" w:color="auto" w:fill="E9E9E9"/>
          </w:tcPr>
          <w:p>
            <w:pPr>
              <w:jc w:val="right"/>
              <w:spacing w:after="0" w:line="139" w:lineRule="exact"/>
              <w:rPr>
                <w:sz w:val="20"/>
                <w:szCs w:val="20"/>
                <w:color w:val="auto"/>
              </w:rPr>
            </w:pPr>
            <w:r>
              <w:rPr>
                <w:rFonts w:ascii="Times New Roman" w:cs="Times New Roman" w:eastAsia="Times New Roman" w:hAnsi="Times New Roman"/>
                <w:sz w:val="13"/>
                <w:szCs w:val="13"/>
                <w:color w:val="auto"/>
              </w:rPr>
              <w:t>Contributions to other multiemployer plans</w:t>
            </w:r>
          </w:p>
        </w:tc>
        <w:tc>
          <w:tcPr>
            <w:tcW w:w="100" w:type="dxa"/>
            <w:vAlign w:val="bottom"/>
            <w:tcBorders>
              <w:bottom w:val="single" w:sz="8" w:color="E9E9E9"/>
            </w:tcBorders>
            <w:shd w:val="clear" w:color="auto" w:fill="E9E9E9"/>
          </w:tcPr>
          <w:p>
            <w:pPr>
              <w:spacing w:after="0"/>
              <w:rPr>
                <w:sz w:val="13"/>
                <w:szCs w:val="13"/>
                <w:color w:val="auto"/>
              </w:rPr>
            </w:pPr>
          </w:p>
        </w:tc>
        <w:tc>
          <w:tcPr>
            <w:tcW w:w="80" w:type="dxa"/>
            <w:vAlign w:val="bottom"/>
            <w:tcBorders>
              <w:bottom w:val="single" w:sz="8" w:color="auto"/>
            </w:tcBorders>
            <w:shd w:val="clear" w:color="auto" w:fill="E9E9E9"/>
          </w:tcPr>
          <w:p>
            <w:pPr>
              <w:spacing w:after="0"/>
              <w:rPr>
                <w:sz w:val="13"/>
                <w:szCs w:val="13"/>
                <w:color w:val="auto"/>
              </w:rPr>
            </w:pPr>
          </w:p>
        </w:tc>
        <w:tc>
          <w:tcPr>
            <w:tcW w:w="660" w:type="dxa"/>
            <w:vAlign w:val="bottom"/>
            <w:tcBorders>
              <w:bottom w:val="single" w:sz="8" w:color="auto"/>
            </w:tcBorders>
            <w:shd w:val="clear" w:color="auto" w:fill="E9E9E9"/>
          </w:tcPr>
          <w:p>
            <w:pPr>
              <w:jc w:val="right"/>
              <w:spacing w:after="0" w:line="139" w:lineRule="exact"/>
              <w:rPr>
                <w:sz w:val="20"/>
                <w:szCs w:val="20"/>
                <w:color w:val="auto"/>
              </w:rPr>
            </w:pPr>
            <w:r>
              <w:rPr>
                <w:rFonts w:ascii="Times New Roman" w:cs="Times New Roman" w:eastAsia="Times New Roman" w:hAnsi="Times New Roman"/>
                <w:sz w:val="13"/>
                <w:szCs w:val="13"/>
                <w:color w:val="auto"/>
              </w:rPr>
              <w:t>1,324</w:t>
            </w:r>
          </w:p>
        </w:tc>
        <w:tc>
          <w:tcPr>
            <w:tcW w:w="200" w:type="dxa"/>
            <w:vAlign w:val="bottom"/>
            <w:tcBorders>
              <w:bottom w:val="single" w:sz="8" w:color="E9E9E9"/>
            </w:tcBorders>
            <w:shd w:val="clear" w:color="auto" w:fill="E9E9E9"/>
          </w:tcPr>
          <w:p>
            <w:pPr>
              <w:spacing w:after="0"/>
              <w:rPr>
                <w:sz w:val="13"/>
                <w:szCs w:val="13"/>
                <w:color w:val="auto"/>
              </w:rPr>
            </w:pPr>
          </w:p>
        </w:tc>
        <w:tc>
          <w:tcPr>
            <w:tcW w:w="160" w:type="dxa"/>
            <w:vAlign w:val="bottom"/>
            <w:tcBorders>
              <w:bottom w:val="single" w:sz="8" w:color="auto"/>
            </w:tcBorders>
            <w:shd w:val="clear" w:color="auto" w:fill="E9E9E9"/>
          </w:tcPr>
          <w:p>
            <w:pPr>
              <w:spacing w:after="0"/>
              <w:rPr>
                <w:sz w:val="13"/>
                <w:szCs w:val="13"/>
                <w:color w:val="auto"/>
              </w:rPr>
            </w:pPr>
          </w:p>
        </w:tc>
        <w:tc>
          <w:tcPr>
            <w:tcW w:w="600" w:type="dxa"/>
            <w:vAlign w:val="bottom"/>
            <w:tcBorders>
              <w:bottom w:val="single" w:sz="8" w:color="auto"/>
            </w:tcBorders>
            <w:shd w:val="clear" w:color="auto" w:fill="E9E9E9"/>
          </w:tcPr>
          <w:p>
            <w:pPr>
              <w:jc w:val="right"/>
              <w:spacing w:after="0" w:line="139" w:lineRule="exact"/>
              <w:rPr>
                <w:sz w:val="20"/>
                <w:szCs w:val="20"/>
                <w:color w:val="auto"/>
              </w:rPr>
            </w:pPr>
            <w:r>
              <w:rPr>
                <w:rFonts w:ascii="Times New Roman" w:cs="Times New Roman" w:eastAsia="Times New Roman" w:hAnsi="Times New Roman"/>
                <w:sz w:val="13"/>
                <w:szCs w:val="13"/>
                <w:color w:val="auto"/>
              </w:rPr>
              <w:t>1,355</w:t>
            </w:r>
          </w:p>
        </w:tc>
        <w:tc>
          <w:tcPr>
            <w:tcW w:w="200" w:type="dxa"/>
            <w:vAlign w:val="bottom"/>
            <w:tcBorders>
              <w:bottom w:val="single" w:sz="8" w:color="E9E9E9"/>
            </w:tcBorders>
            <w:shd w:val="clear" w:color="auto" w:fill="E9E9E9"/>
          </w:tcPr>
          <w:p>
            <w:pPr>
              <w:spacing w:after="0"/>
              <w:rPr>
                <w:sz w:val="13"/>
                <w:szCs w:val="13"/>
                <w:color w:val="auto"/>
              </w:rPr>
            </w:pPr>
          </w:p>
        </w:tc>
        <w:tc>
          <w:tcPr>
            <w:tcW w:w="620" w:type="dxa"/>
            <w:vAlign w:val="bottom"/>
            <w:tcBorders>
              <w:bottom w:val="single" w:sz="8" w:color="E9E9E9"/>
            </w:tcBorders>
            <w:shd w:val="clear" w:color="auto" w:fill="E9E9E9"/>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3"/>
                <w:szCs w:val="13"/>
                <w:color w:val="auto"/>
              </w:rPr>
              <w:t>Total contributions made</w:t>
            </w:r>
          </w:p>
        </w:tc>
        <w:tc>
          <w:tcPr>
            <w:tcW w:w="100" w:type="dxa"/>
            <w:vAlign w:val="bottom"/>
          </w:tcPr>
          <w:p>
            <w:pPr>
              <w:spacing w:after="0"/>
              <w:rPr>
                <w:sz w:val="10"/>
                <w:szCs w:val="10"/>
                <w:color w:val="auto"/>
              </w:rPr>
            </w:pPr>
          </w:p>
        </w:tc>
        <w:tc>
          <w:tcPr>
            <w:tcW w:w="8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14,654</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16,678</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40"/>
        <w:spacing w:after="0" w:line="248" w:lineRule="auto"/>
        <w:tabs>
          <w:tab w:leader="none" w:pos="212"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plans noted above, we have not received a funding notification that covers the fiscal year presented during the preparation of the financial statements.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has also observed that these plans have not submitted any Critical or Endangered Status Notices to the Department of Labor for calendar years that the Company has not received notification. The Critical or Endangered Status Notices can be accessed at https://www.dol.gov/agencies/ebsa/about-ebsa/our-activities/public-disclosure/critical-status-notices</w:t>
      </w:r>
    </w:p>
    <w:p>
      <w:pPr>
        <w:spacing w:after="0" w:line="16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The Company is not aware of any significant future obligations or funding requirements related to these plans other than the ongoing contributions that are paid as hours are worked by plan participants.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Commitments and Contingencies</w:t>
      </w:r>
    </w:p>
    <w:p>
      <w:pPr>
        <w:spacing w:after="0" w:line="23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20" w:right="1440" w:bottom="175" w:gutter="0" w:footer="0" w:header="0"/>
          <w:type w:val="continuous"/>
        </w:sectPr>
      </w:pPr>
    </w:p>
    <w:bookmarkStart w:id="91" w:name="page92"/>
    <w:bookmarkEnd w:id="91"/>
    <w:p>
      <w:pPr>
        <w:spacing w:after="0" w:line="211"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0"/>
          <w:szCs w:val="20"/>
          <w:color w:val="auto"/>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consolidated statements of operations.</w:t>
      </w:r>
    </w:p>
    <w:p>
      <w:pPr>
        <w:spacing w:after="0" w:line="18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December 29, 2023 and December 30, 2022, and believes that the ultimate resolution of such matters will not materially affect the Company's consolidated financial position, results of operations, or cash flows. The Company has recorded contingent consideration as of December 29, 2023 and December 30, 2022 at its estimated fair value. The Company is unable to reasonably determine an estimated range of amounts of the payments that could be made due to the uncertainty of future events.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Guarantees</w:t>
      </w:r>
    </w:p>
    <w:p>
      <w:pPr>
        <w:spacing w:after="0" w:line="2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spacing w:after="0" w:line="18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The Company typically indemnifies contract owners for claims arising during the construction process and carries insurance coverage for such claims.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Letters of Credit</w:t>
      </w:r>
    </w:p>
    <w:p>
      <w:pPr>
        <w:spacing w:after="0" w:line="22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In the ordinary course of business and under certain contracts, the Company is required to post standby letters of credit for its insurance carriers. At December 29, 2023 and December 30, 2022, the total amount of standby letters of credit outstanding were $0 and $8 million, respectively.</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40" w:right="1440" w:bottom="175" w:gutter="0" w:footer="0" w:header="0"/>
          <w:type w:val="continuous"/>
        </w:sectPr>
      </w:pPr>
    </w:p>
    <w:bookmarkStart w:id="92" w:name="page93"/>
    <w:bookmarkEnd w:id="92"/>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p>
    <w:p>
      <w:pPr>
        <w:spacing w:after="0" w:line="19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Management, under the supervision and with the participation of the Chief Executive Officer and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 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6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Based on that evaluation, our Chief Executive Officer and Chief Financial Officer concluded that as of December 29, 2023, our disclosure controls and procedures were not effective due to the material weaknesses in internal control over financial reporting described below. We have in place and are executing a remediation plan to address the material weaknesses described below.</w:t>
      </w:r>
    </w:p>
    <w:p>
      <w:pPr>
        <w:spacing w:after="0" w:line="15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December 29, 2023.</w:t>
      </w:r>
    </w:p>
    <w:p>
      <w:pPr>
        <w:spacing w:after="0" w:line="15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Management performed additional analyses and other procedures to ensure that our consolidated financial statements were prepared in accordance with U.S. Generally Accepted Accounting Principles ("U.S. GAAP"). Accordingly, management believes that the consolidated financial statements included in this Form 10-K fairly present, in all material respects, our financial position, results of operations, and cash flows as of and for the periods presented in this Form 10-K, in accordance with U.S.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Plan to Remediate the Identified Material Weaknesses</w:t>
      </w:r>
    </w:p>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believe our current staff, which has changed over the last fifteen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over estimate at completion (revenue), payroll, treasury, property, plant and equipment and leases.</w:t>
      </w:r>
    </w:p>
    <w:p>
      <w:pPr>
        <w:spacing w:after="0" w:line="15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 We continue to evaluate the controls that we have implemented and conduct such testing that is necessary to conclude on the operating effectiveness of the controls. Additional remediation may be necessary as we continue to monitor and evaluate the effectiveness of controls implemented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16" w:right="1440" w:bottom="175" w:gutter="0" w:footer="0" w:header="0"/>
          <w:type w:val="continuous"/>
        </w:sectPr>
      </w:pPr>
    </w:p>
    <w:bookmarkStart w:id="93" w:name="page94"/>
    <w:bookmarkEnd w:id="93"/>
    <w:p>
      <w:pPr>
        <w:ind w:right="40"/>
        <w:spacing w:after="0" w:line="252" w:lineRule="auto"/>
        <w:rPr>
          <w:sz w:val="20"/>
          <w:szCs w:val="20"/>
          <w:color w:val="auto"/>
        </w:rPr>
      </w:pPr>
      <w:r>
        <w:rPr>
          <w:rFonts w:ascii="Times New Roman" w:cs="Times New Roman" w:eastAsia="Times New Roman" w:hAnsi="Times New Roman"/>
          <w:sz w:val="20"/>
          <w:szCs w:val="20"/>
          <w:color w:val="auto"/>
        </w:rPr>
        <w:t>With the exception of the implementation and enhancement of controls in connection with our remediation activities described above, there were no changes to our internal control over financial reporting during the quarter ended December 29, 2023 that have materially affected, or that are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auto"/>
        </w:rPr>
        <w:t>During the fiscal year ended December 29, 2023,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420" w:right="1440" w:bottom="175" w:gutter="0" w:footer="0" w:header="0"/>
          <w:type w:val="continuous"/>
        </w:sectPr>
      </w:pPr>
    </w:p>
    <w:bookmarkStart w:id="94" w:name="page95"/>
    <w:bookmarkEnd w:id="94"/>
    <w:p>
      <w:pPr>
        <w:ind w:left="43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0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the 2024 Annual Meeting of Stockholders, to be filed within 120 days of our 2023 fiscal year end.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0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the 2024 Annual Meeting of Stockholders, to be filed within 120 days of our 2023 fiscal year end.</w:t>
      </w:r>
    </w:p>
    <w:p>
      <w:pPr>
        <w:spacing w:after="0" w:line="1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Other than with respect to the information relating to our equity compensation plans, the information required by this item is incorporated by reference from our definitive Proxy Statement for the 2024 Annual Meeting of Stockholders, to be filed within 120 days of our 2023 fiscal year end.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0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the 2024 Annual Meeting of Stockholders, to be filed within 120 days of our 2023 fiscal year end.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0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the 2024 Annual Meeting of Stockholders, to be filed within 120 days of our 2023 fiscal year end.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416" w:right="1440" w:bottom="175"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(1) Financial Statements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financial statements and supplementary data are filed as a part of this report under “Item 8—Financial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and Supplementary Data” in this Annual Report on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Financial Statements of the Company</w:t>
      </w:r>
    </w:p>
    <w:p>
      <w:pPr>
        <w:spacing w:after="0" w:line="258" w:lineRule="exact"/>
        <w:rPr>
          <w:sz w:val="20"/>
          <w:szCs w:val="20"/>
          <w:color w:val="auto"/>
        </w:rPr>
      </w:pPr>
    </w:p>
    <w:p>
      <w:pPr>
        <w:ind w:left="660" w:right="2360"/>
        <w:spacing w:after="0" w:line="266" w:lineRule="auto"/>
        <w:rPr>
          <w:sz w:val="20"/>
          <w:szCs w:val="20"/>
          <w:color w:val="auto"/>
        </w:rPr>
      </w:pPr>
      <w:r>
        <w:rPr>
          <w:rFonts w:ascii="Times New Roman" w:cs="Times New Roman" w:eastAsia="Times New Roman" w:hAnsi="Times New Roman"/>
          <w:sz w:val="20"/>
          <w:szCs w:val="20"/>
          <w:color w:val="auto"/>
        </w:rPr>
        <w:t>Report of Independent Registered Public Accounting Firm (PCAOB ID: 34) Consolidated Balance Sheets as of December 29, 2023 and December 30, 2022</w:t>
      </w:r>
    </w:p>
    <w:p>
      <w:pPr>
        <w:ind w:left="660" w:right="260"/>
        <w:spacing w:after="0" w:line="247" w:lineRule="auto"/>
        <w:rPr>
          <w:sz w:val="20"/>
          <w:szCs w:val="20"/>
          <w:color w:val="auto"/>
        </w:rPr>
      </w:pPr>
      <w:r>
        <w:rPr>
          <w:rFonts w:ascii="Times New Roman" w:cs="Times New Roman" w:eastAsia="Times New Roman" w:hAnsi="Times New Roman"/>
          <w:sz w:val="20"/>
          <w:szCs w:val="20"/>
          <w:color w:val="auto"/>
        </w:rPr>
        <w:t>Consolidated Statements of Operations for the Fiscal Years Ended December 29, 2023 and December 30, 2022</w:t>
      </w:r>
    </w:p>
    <w:p>
      <w:pPr>
        <w:spacing w:after="0" w:line="1" w:lineRule="exact"/>
        <w:rPr>
          <w:sz w:val="20"/>
          <w:szCs w:val="20"/>
          <w:color w:val="auto"/>
        </w:rPr>
      </w:pPr>
    </w:p>
    <w:p>
      <w:pPr>
        <w:ind w:left="660" w:right="620"/>
        <w:spacing w:after="0" w:line="247" w:lineRule="auto"/>
        <w:rPr>
          <w:sz w:val="20"/>
          <w:szCs w:val="20"/>
          <w:color w:val="auto"/>
        </w:rPr>
      </w:pPr>
      <w:r>
        <w:rPr>
          <w:rFonts w:ascii="Times New Roman" w:cs="Times New Roman" w:eastAsia="Times New Roman" w:hAnsi="Times New Roman"/>
          <w:sz w:val="20"/>
          <w:szCs w:val="20"/>
          <w:color w:val="auto"/>
        </w:rPr>
        <w:t>Consolidated Statements of Stockholders’ Equity for the Fiscal Years Ended December 29, 2023 and December 30, 2022</w:t>
      </w:r>
    </w:p>
    <w:p>
      <w:pPr>
        <w:spacing w:after="0" w:line="1" w:lineRule="exact"/>
        <w:rPr>
          <w:sz w:val="20"/>
          <w:szCs w:val="20"/>
          <w:color w:val="auto"/>
        </w:rPr>
      </w:pPr>
    </w:p>
    <w:p>
      <w:pPr>
        <w:ind w:left="660" w:right="200"/>
        <w:spacing w:after="0" w:line="247" w:lineRule="auto"/>
        <w:rPr>
          <w:sz w:val="20"/>
          <w:szCs w:val="20"/>
          <w:color w:val="auto"/>
        </w:rPr>
      </w:pPr>
      <w:r>
        <w:rPr>
          <w:rFonts w:ascii="Times New Roman" w:cs="Times New Roman" w:eastAsia="Times New Roman" w:hAnsi="Times New Roman"/>
          <w:sz w:val="20"/>
          <w:szCs w:val="20"/>
          <w:color w:val="auto"/>
        </w:rPr>
        <w:t>Consolidated Statements of Cash Flows for the Fiscal Years Ended December 29, 2023 and December 30, 2022</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(2)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schedules are required to be presented.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(3) Exhibits</w:t>
      </w:r>
    </w:p>
    <w:p>
      <w:pPr>
        <w:spacing w:after="0" w:line="23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Shimmick Corporation, any other persons, any state of affairs or other matters.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8240" w:type="dxa"/>
            <w:vAlign w:val="bottom"/>
            <w:vMerge w:val="restart"/>
          </w:tcPr>
          <w:p>
            <w:pPr>
              <w:ind w:left="37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3"/>
        </w:trPr>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8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17"/>
                <w:szCs w:val="17"/>
                <w:color w:val="auto"/>
              </w:rPr>
            </w:pPr>
          </w:p>
        </w:tc>
        <w:tc>
          <w:tcPr>
            <w:tcW w:w="82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Amended and Restated Certificate of Incorporation of Shimmick Corporation (incorporated by</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3.1 of Shimmick Corporation’s Current Report on Form 8-K filed on November</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16, 2023).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Shimmick Corporation (incorporated by reference to Exhibit 3.2 of</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Shimmick Corporation’s Current Report on Form 8-K filed on November 16, 2023).</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1"/>
                <w:szCs w:val="21"/>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for Executive Officers and Directors (incorporated by reference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to Exhibit 10.1 of Shimmick Corporation’s Registration Statement on Form S-1 (No. 333-274870)</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filed on October 24, 2023).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SCCI National Holdings, Inc. 2021 Stock Plan (incorporated by reference to Exhibit 10.2 of</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Shimmick Corporation’s Registration Statement on Form S-1 (No. 333-274870) filed on October 5,</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Form of Shimmick Corporation 2023 Equity Incentive Plan (incorporated by reference to Exhibit 10.3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of Shimmick Corporation’s Registration Statement on Form S-1 (No. 333-274870) filed on October</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24, 2023).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Credit Agreement, dated February 26, 2021, by and among Shimmick Construction Company, Inc.,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BMO Harris Bank N.A. and the other parties thereto (incorporated by reference to Exhibit 10.4 of</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Shimmick Corporation’s Registration Statement on Form S-1 (No. 333-274870) filed on October 5,</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Credit, Security and Guaranty Agreement, dated March 27, 2023, by and among Shimmick</w:t>
            </w:r>
          </w:p>
        </w:tc>
        <w:tc>
          <w:tcPr>
            <w:tcW w:w="0" w:type="dxa"/>
            <w:vAlign w:val="bottom"/>
          </w:tcPr>
          <w:p>
            <w:pPr>
              <w:spacing w:after="0"/>
              <w:rPr>
                <w:sz w:val="1"/>
                <w:szCs w:val="1"/>
                <w:color w:val="auto"/>
              </w:rPr>
            </w:pPr>
          </w:p>
        </w:tc>
      </w:tr>
      <w:tr>
        <w:trPr>
          <w:trHeight w:val="266"/>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Company, Inc., Rust Constructors Inc., The Leasing Corporation, SCCI National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16" w:right="1440" w:bottom="175"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Holdings, Inc., MidCap Funding IV Trust and other parties thereto (incorporated by reference to</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 10.5 of Shimmick Corporation’s Registration Statement on Form S-1 (No. 333-274870) filed</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on October 27, 2023).</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Amendment No. 1 to Credit, Security and Guaranty Agreement, dated June 30, 2023, by and among</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Shimmick Construction Company, Inc., Rust Constructors, Inc., The Leasing Corporation, SCCI</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National Holdings, Inc., MidCap Funding IV Trust and other parties thereto (incorporated by</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reference to Exhibit 10.6 of Shimmick Corporation’s Registration Statement on Form S-1 (No. 333-</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274870) filed on October 27, 2023).</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Amendment No. 2 to Credit, Security and Guaranty Agreement, dated September 22, 2023, by and</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among Shimmick Construction Company, Inc., Rust Constructors Inc., The Leasing Corporation,</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Shimmick Corporation (f/k/a SCCI National Holdings, Inc.), MidCap Funding IV Trust and other</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parties thereto (incorporated by reference to Exhibit 10.7 of Shimmick Corporation’s Registration</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Statement on Form S-1 (No. 333-274870) filed on October 27, 2023).</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Loan and Security Agreement, effective September 13, 2023, by and between Hudson Bridge</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Partners, LLC and/or its assigns and Shimmick Construction Company, Inc (incorporated by reference</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 Exhibit 10.8 of Shimmick Corporation’s Registration Statement on Form S-1 (No. 333-274870)</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filed on October 27, 2023).</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Project Financing Agreement, dated March 26, 2024, by and among Shimmick Corporation, Berkshire</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Specialty Insurance Company, National Liability &amp; Fire Insurance Company and National Indemnity</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Company.</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List of Subsidiaries of Shimmick Corporation</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Consent of Deloitte and Touche LLP</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Securities Exchange Act of 1934, as Adopted Pursuant to Section 302 of the Sarbanes-Oxley Act of</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2002.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w:t>
            </w:r>
          </w:p>
        </w:tc>
      </w:tr>
      <w:tr>
        <w:trPr>
          <w:trHeight w:val="230"/>
        </w:trPr>
        <w:tc>
          <w:tcPr>
            <w:tcW w:w="94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Securities Exchange Act of 1934, as Adopted Pursuant to Section 302 of the Sarbanes-Oxley Act of</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2002.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Clawback Policy</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w:t>
            </w:r>
          </w:p>
        </w:tc>
      </w:tr>
      <w:tr>
        <w:trPr>
          <w:trHeight w:val="245"/>
        </w:trPr>
        <w:tc>
          <w:tcPr>
            <w:tcW w:w="940" w:type="dxa"/>
            <w:vAlign w:val="bottom"/>
          </w:tcPr>
          <w:p>
            <w:pPr>
              <w:spacing w:after="0"/>
              <w:rPr>
                <w:sz w:val="21"/>
                <w:szCs w:val="21"/>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because XBRL tags are embedded within the Inline XBRL document.</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6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92710</wp:posOffset>
                </wp:positionV>
                <wp:extent cx="49276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7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7.3pt" to="37.4pt,7.3pt" o:allowincell="f" strokecolor="#000000" strokeweight="0.5pt"/>
            </w:pict>
          </mc:Fallback>
        </mc:AlternateConten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Portions of this exhibit have been redacted in accordance with Item 601(a)(5) of Regulation S-K.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35" w:right="1440" w:bottom="175"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120" w:type="dxa"/>
            <w:vAlign w:val="bottom"/>
          </w:tcPr>
          <w:p>
            <w:pPr>
              <w:spacing w:after="0"/>
              <w:rPr>
                <w:sz w:val="23"/>
                <w:szCs w:val="23"/>
                <w:color w:val="auto"/>
              </w:rPr>
            </w:pPr>
          </w:p>
        </w:tc>
        <w:tc>
          <w:tcPr>
            <w:tcW w:w="2900" w:type="dxa"/>
            <w:vAlign w:val="bottom"/>
            <w:gridSpan w:val="2"/>
          </w:tcPr>
          <w:p>
            <w:pPr>
              <w:ind w:left="1380"/>
              <w:spacing w:after="0"/>
              <w:rPr>
                <w:sz w:val="20"/>
                <w:szCs w:val="20"/>
                <w:color w:val="auto"/>
              </w:rPr>
            </w:pPr>
            <w:r>
              <w:rPr>
                <w:rFonts w:ascii="Times New Roman" w:cs="Times New Roman" w:eastAsia="Times New Roman" w:hAnsi="Times New Roman"/>
                <w:sz w:val="20"/>
                <w:szCs w:val="20"/>
                <w:color w:val="auto"/>
              </w:rPr>
              <w:t>Company Name</w:t>
            </w:r>
          </w:p>
        </w:tc>
        <w:tc>
          <w:tcPr>
            <w:tcW w:w="3340" w:type="dxa"/>
            <w:vAlign w:val="bottom"/>
          </w:tcPr>
          <w:p>
            <w:pPr>
              <w:spacing w:after="0"/>
              <w:rPr>
                <w:sz w:val="23"/>
                <w:szCs w:val="23"/>
                <w:color w:val="auto"/>
              </w:rPr>
            </w:pPr>
          </w:p>
        </w:tc>
      </w:tr>
      <w:tr>
        <w:trPr>
          <w:trHeight w:val="473"/>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2024</w:t>
            </w:r>
          </w:p>
        </w:tc>
        <w:tc>
          <w:tcPr>
            <w:tcW w:w="2900" w:type="dxa"/>
            <w:vAlign w:val="bottom"/>
            <w:gridSpan w:val="2"/>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3340" w:type="dxa"/>
            <w:vAlign w:val="bottom"/>
          </w:tcPr>
          <w:p>
            <w:pPr>
              <w:jc w:val="center"/>
              <w:ind w:right="920"/>
              <w:spacing w:after="0"/>
              <w:rPr>
                <w:sz w:val="20"/>
                <w:szCs w:val="20"/>
                <w:color w:val="auto"/>
              </w:rPr>
            </w:pPr>
            <w:r>
              <w:rPr>
                <w:rFonts w:ascii="Times New Roman" w:cs="Times New Roman" w:eastAsia="Times New Roman" w:hAnsi="Times New Roman"/>
                <w:sz w:val="20"/>
                <w:szCs w:val="20"/>
                <w:color w:val="auto"/>
                <w:w w:val="99"/>
              </w:rPr>
              <w:t>/s/ Steven E. Richards</w:t>
            </w:r>
          </w:p>
        </w:tc>
      </w:tr>
      <w:tr>
        <w:trPr>
          <w:trHeight w:val="226"/>
        </w:trPr>
        <w:tc>
          <w:tcPr>
            <w:tcW w:w="3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jc w:val="center"/>
              <w:ind w:right="920"/>
              <w:spacing w:after="0" w:line="226" w:lineRule="exact"/>
              <w:rPr>
                <w:sz w:val="20"/>
                <w:szCs w:val="20"/>
                <w:color w:val="auto"/>
              </w:rPr>
            </w:pPr>
            <w:r>
              <w:rPr>
                <w:rFonts w:ascii="Times New Roman" w:cs="Times New Roman" w:eastAsia="Times New Roman" w:hAnsi="Times New Roman"/>
                <w:sz w:val="20"/>
                <w:szCs w:val="20"/>
                <w:color w:val="auto"/>
                <w:w w:val="99"/>
              </w:rPr>
              <w:t>Steven E. Richards</w:t>
            </w:r>
          </w:p>
        </w:tc>
      </w:tr>
      <w:tr>
        <w:trPr>
          <w:trHeight w:val="266"/>
        </w:trPr>
        <w:tc>
          <w:tcPr>
            <w:tcW w:w="3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340" w:type="dxa"/>
            <w:vAlign w:val="bottom"/>
          </w:tcPr>
          <w:p>
            <w:pPr>
              <w:jc w:val="center"/>
              <w:ind w:right="920"/>
              <w:spacing w:after="0"/>
              <w:rPr>
                <w:sz w:val="20"/>
                <w:szCs w:val="20"/>
                <w:color w:val="auto"/>
              </w:rPr>
            </w:pPr>
            <w:r>
              <w:rPr>
                <w:rFonts w:ascii="Times New Roman" w:cs="Times New Roman" w:eastAsia="Times New Roman" w:hAnsi="Times New Roman"/>
                <w:sz w:val="20"/>
                <w:szCs w:val="20"/>
                <w:color w:val="auto"/>
                <w:w w:val="99"/>
              </w:rPr>
              <w:t>Chief Executive Officer</w:t>
            </w:r>
          </w:p>
        </w:tc>
      </w:tr>
    </w:tbl>
    <w:p>
      <w:pPr>
        <w:spacing w:after="0" w:line="164"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174" w:lineRule="exact"/>
        <w:rPr>
          <w:sz w:val="20"/>
          <w:szCs w:val="20"/>
          <w:color w:val="auto"/>
        </w:rPr>
      </w:pPr>
    </w:p>
    <w:p>
      <w:pPr>
        <w:ind w:left="1340"/>
        <w:spacing w:after="0"/>
        <w:tabs>
          <w:tab w:leader="none" w:pos="5020" w:val="left"/>
          <w:tab w:leader="none" w:pos="816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195516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516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53.95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2025650</wp:posOffset>
                </wp:positionH>
                <wp:positionV relativeFrom="paragraph">
                  <wp:posOffset>13335</wp:posOffset>
                </wp:positionV>
                <wp:extent cx="25654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54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5pt,1.05pt" to="361.5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4660900</wp:posOffset>
                </wp:positionH>
                <wp:positionV relativeFrom="paragraph">
                  <wp:posOffset>13335</wp:posOffset>
                </wp:positionV>
                <wp:extent cx="12827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pt,1.05pt" to="468pt,1.05pt" o:allowincell="f" strokecolor="#000000" strokeweight="0.25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Executive Officer</w:t>
            </w:r>
          </w:p>
        </w:tc>
        <w:tc>
          <w:tcPr>
            <w:tcW w:w="1600" w:type="dxa"/>
            <w:vAlign w:val="bottom"/>
          </w:tcPr>
          <w:p>
            <w:pPr>
              <w:spacing w:after="0"/>
              <w:rPr>
                <w:sz w:val="19"/>
                <w:szCs w:val="19"/>
                <w:color w:val="auto"/>
              </w:rPr>
            </w:pPr>
          </w:p>
        </w:tc>
      </w:tr>
      <w:tr>
        <w:trPr>
          <w:trHeight w:val="249"/>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Steven E. Richards</w:t>
            </w:r>
          </w:p>
        </w:tc>
        <w:tc>
          <w:tcPr>
            <w:tcW w:w="3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6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March 28, 2024</w:t>
            </w: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Richards</w:t>
            </w:r>
          </w:p>
        </w:tc>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11"/>
        </w:trPr>
        <w:tc>
          <w:tcPr>
            <w:tcW w:w="3080" w:type="dxa"/>
            <w:vAlign w:val="bottom"/>
          </w:tcPr>
          <w:p>
            <w:pPr>
              <w:spacing w:after="0"/>
              <w:rPr>
                <w:sz w:val="24"/>
                <w:szCs w:val="24"/>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Vice President &amp; Chief Financial</w:t>
            </w:r>
          </w:p>
        </w:tc>
        <w:tc>
          <w:tcPr>
            <w:tcW w:w="1600" w:type="dxa"/>
            <w:vAlign w:val="bottom"/>
          </w:tcPr>
          <w:p>
            <w:pPr>
              <w:spacing w:after="0"/>
              <w:rPr>
                <w:sz w:val="24"/>
                <w:szCs w:val="24"/>
                <w:color w:val="auto"/>
              </w:rPr>
            </w:pPr>
          </w:p>
        </w:tc>
      </w:tr>
      <w:tr>
        <w:trPr>
          <w:trHeight w:val="230"/>
        </w:trPr>
        <w:tc>
          <w:tcPr>
            <w:tcW w:w="308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Officer</w:t>
            </w:r>
          </w:p>
        </w:tc>
        <w:tc>
          <w:tcPr>
            <w:tcW w:w="1600" w:type="dxa"/>
            <w:vAlign w:val="bottom"/>
          </w:tcPr>
          <w:p>
            <w:pPr>
              <w:spacing w:after="0"/>
              <w:rPr>
                <w:sz w:val="19"/>
                <w:szCs w:val="19"/>
                <w:color w:val="auto"/>
              </w:rPr>
            </w:pPr>
          </w:p>
        </w:tc>
      </w:tr>
      <w:tr>
        <w:trPr>
          <w:trHeight w:val="249"/>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Devin J. Nordhagen</w:t>
            </w:r>
          </w:p>
        </w:tc>
        <w:tc>
          <w:tcPr>
            <w:tcW w:w="3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6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7"/>
              </w:rPr>
              <w:t>March 28, 2024</w:t>
            </w: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Devin J. Nordhagen</w:t>
            </w:r>
          </w:p>
        </w:tc>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Mitchell B. Goldsteen</w:t>
            </w:r>
          </w:p>
        </w:tc>
        <w:tc>
          <w:tcPr>
            <w:tcW w:w="3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Chairman</w:t>
            </w:r>
          </w:p>
        </w:tc>
        <w:tc>
          <w:tcPr>
            <w:tcW w:w="16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7"/>
              </w:rPr>
              <w:t>March 28, 2024</w:t>
            </w: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Mitchell B. Goldsteen</w:t>
            </w:r>
          </w:p>
        </w:tc>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Joe Del Guercio</w:t>
            </w:r>
          </w:p>
        </w:tc>
        <w:tc>
          <w:tcPr>
            <w:tcW w:w="3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7"/>
              </w:rPr>
              <w:t>March 28, 2024</w:t>
            </w: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Joe Del Guercio</w:t>
            </w:r>
          </w:p>
        </w:tc>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Geoffrey E. Heekin</w:t>
            </w:r>
          </w:p>
        </w:tc>
        <w:tc>
          <w:tcPr>
            <w:tcW w:w="3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7"/>
              </w:rPr>
              <w:t>March 28, 2024</w:t>
            </w: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Geoffrey E. Heekin</w:t>
            </w:r>
          </w:p>
        </w:tc>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 Brendan Herron</w:t>
            </w:r>
          </w:p>
        </w:tc>
        <w:tc>
          <w:tcPr>
            <w:tcW w:w="3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7"/>
              </w:rPr>
              <w:t>March 28, 2024</w:t>
            </w: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 Brendan Herron</w:t>
            </w:r>
          </w:p>
        </w:tc>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Carolyn L. Trabuco</w:t>
            </w:r>
          </w:p>
        </w:tc>
        <w:tc>
          <w:tcPr>
            <w:tcW w:w="3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160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7"/>
              </w:rPr>
              <w:t>March 28, 2024</w:t>
            </w:r>
          </w:p>
        </w:tc>
      </w:tr>
      <w:tr>
        <w:trPr>
          <w:trHeight w:val="20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Carolyn L. Trabuco</w:t>
            </w:r>
          </w:p>
        </w:tc>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16" w:right="1440" w:bottom="175" w:gutter="0" w:footer="0" w:header="0"/>
          <w:type w:val="continuous"/>
        </w:sectPr>
      </w:pPr>
    </w:p>
    <w:bookmarkStart w:id="98" w:name="page99"/>
    <w:bookmarkEnd w:id="98"/>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CAPITAL STOCK</w:t>
      </w:r>
    </w:p>
    <w:p>
      <w:pPr>
        <w:spacing w:after="0" w:line="24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i w:val="1"/>
          <w:iCs w:val="1"/>
          <w:color w:val="auto"/>
        </w:rPr>
        <w:t>The following describes common stock and preferred stock of Shimmick Corporation (“Shimmick,” “we,” “our,” “us,” “its” or the “Company”) and certain terms of our amended and restated certificate of incorporation and amended and restated bylaws. This description is a summary only and is subject to the complete text of our amended and restated certificate of incorporation and bylaws, which have been incorporated by reference as exhibits to this Annual Report on Form 10-K.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2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auto"/>
        </w:rPr>
        <w:t>Our amended and restated certificate of incorporation authorizes capital stock consisting of 100,000,000 shares of common stock, par value $0.01 per share, and 25,000,000 shares of preferred stock, par value $0.01 per share.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2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9"/>
          <w:szCs w:val="19"/>
          <w:color w:val="auto"/>
        </w:rPr>
        <w:t>Each share of common stock entitles the holder to one vote on all matters on which holders are permitted to vote, including the election of directors. There are no cumulative voting rights. Accordingly, holders of a majority of shares entitled to vote in an election of directors are able to elect all of the directors standing for election.</w:t>
      </w:r>
    </w:p>
    <w:p>
      <w:pPr>
        <w:spacing w:after="0" w:line="17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Subject to preferences that may be applicable to any outstanding preferred stock, the holders of the common stock will share equally on a per share basis any dividends when, as and if declared by the board of directors out of funds legally available for that purpose. If we are liquidated, dissolved or wound up, the holders of our common stock will be entitled to a ratable share of any distribution to stockholders, after satisfaction of all of our liabilities and of the prior rights of any outstanding class of our preferred stock. Our common stock does not carry any preemptive or other subscription rights to purchase shares of our stock and are not convertible, redeemable or assessable.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2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Our board of directors has the authority, without stockholder approval, to issue shares of preferred stock from time to time in one or more series and to fix the number of shares and terms of each such series. The board may determine the designation and other terms of each series, including, among others:</w:t>
      </w:r>
    </w:p>
    <w:p>
      <w:pPr>
        <w:spacing w:after="0" w:line="239" w:lineRule="exact"/>
        <w:rPr>
          <w:sz w:val="20"/>
          <w:szCs w:val="20"/>
          <w:color w:val="auto"/>
        </w:rPr>
      </w:pPr>
    </w:p>
    <w:p>
      <w:pPr>
        <w:ind w:left="1000" w:hanging="359"/>
        <w:spacing w:after="0"/>
        <w:tabs>
          <w:tab w:leader="none" w:pos="10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dividend rates,</w:t>
      </w:r>
    </w:p>
    <w:p>
      <w:pPr>
        <w:spacing w:after="0" w:line="35" w:lineRule="exact"/>
        <w:rPr>
          <w:rFonts w:ascii="Arial" w:cs="Arial" w:eastAsia="Arial" w:hAnsi="Arial"/>
          <w:sz w:val="20"/>
          <w:szCs w:val="20"/>
          <w:color w:val="auto"/>
        </w:rPr>
      </w:pPr>
    </w:p>
    <w:p>
      <w:pPr>
        <w:ind w:left="1000" w:hanging="359"/>
        <w:spacing w:after="0"/>
        <w:tabs>
          <w:tab w:leader="none" w:pos="10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whether dividends will be cumulative or non-cumulative,</w:t>
      </w:r>
    </w:p>
    <w:p>
      <w:pPr>
        <w:spacing w:after="0" w:line="13" w:lineRule="exact"/>
        <w:rPr>
          <w:rFonts w:ascii="Arial" w:cs="Arial" w:eastAsia="Arial" w:hAnsi="Arial"/>
          <w:sz w:val="20"/>
          <w:szCs w:val="20"/>
          <w:color w:val="auto"/>
        </w:rPr>
      </w:pPr>
    </w:p>
    <w:p>
      <w:pPr>
        <w:ind w:left="1000" w:hanging="359"/>
        <w:spacing w:after="0"/>
        <w:tabs>
          <w:tab w:leader="none" w:pos="10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redemption rights,</w:t>
      </w:r>
    </w:p>
    <w:p>
      <w:pPr>
        <w:spacing w:after="0" w:line="13" w:lineRule="exact"/>
        <w:rPr>
          <w:rFonts w:ascii="Arial" w:cs="Arial" w:eastAsia="Arial" w:hAnsi="Arial"/>
          <w:sz w:val="20"/>
          <w:szCs w:val="20"/>
          <w:color w:val="auto"/>
        </w:rPr>
      </w:pPr>
    </w:p>
    <w:p>
      <w:pPr>
        <w:ind w:left="1000" w:hanging="359"/>
        <w:spacing w:after="0"/>
        <w:tabs>
          <w:tab w:leader="none" w:pos="10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liquidation rights,</w:t>
      </w:r>
    </w:p>
    <w:p>
      <w:pPr>
        <w:spacing w:after="0" w:line="13" w:lineRule="exact"/>
        <w:rPr>
          <w:rFonts w:ascii="Arial" w:cs="Arial" w:eastAsia="Arial" w:hAnsi="Arial"/>
          <w:sz w:val="20"/>
          <w:szCs w:val="20"/>
          <w:color w:val="auto"/>
        </w:rPr>
      </w:pPr>
    </w:p>
    <w:p>
      <w:pPr>
        <w:ind w:left="1000" w:hanging="359"/>
        <w:spacing w:after="0"/>
        <w:tabs>
          <w:tab w:leader="none" w:pos="10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sinking fund provisions,</w:t>
      </w:r>
    </w:p>
    <w:p>
      <w:pPr>
        <w:spacing w:after="0" w:line="13" w:lineRule="exact"/>
        <w:rPr>
          <w:rFonts w:ascii="Arial" w:cs="Arial" w:eastAsia="Arial" w:hAnsi="Arial"/>
          <w:sz w:val="20"/>
          <w:szCs w:val="20"/>
          <w:color w:val="auto"/>
        </w:rPr>
      </w:pPr>
    </w:p>
    <w:p>
      <w:pPr>
        <w:ind w:left="1000" w:hanging="359"/>
        <w:spacing w:after="0"/>
        <w:tabs>
          <w:tab w:leader="none" w:pos="10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conversion or exchange rights, and</w:t>
      </w:r>
    </w:p>
    <w:p>
      <w:pPr>
        <w:spacing w:after="0" w:line="13" w:lineRule="exact"/>
        <w:rPr>
          <w:rFonts w:ascii="Arial" w:cs="Arial" w:eastAsia="Arial" w:hAnsi="Arial"/>
          <w:sz w:val="20"/>
          <w:szCs w:val="20"/>
          <w:color w:val="auto"/>
        </w:rPr>
      </w:pPr>
    </w:p>
    <w:p>
      <w:pPr>
        <w:ind w:left="1000" w:hanging="359"/>
        <w:spacing w:after="0"/>
        <w:tabs>
          <w:tab w:leader="none" w:pos="10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voting rights.</w:t>
      </w:r>
    </w:p>
    <w:p>
      <w:pPr>
        <w:spacing w:after="0" w:line="345"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20"/>
          <w:szCs w:val="20"/>
          <w:color w:val="auto"/>
        </w:rPr>
        <w:t>The issuance of preferred stock, while providing us with flexibility in connection with possible acquisitions and other corporate purposes, could reduce the relative voting power of holders of our common stock. It could also affect the likelihood that holders of our common stock will receive dividend payments and payments upon liquidation.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 of Our Certificate of Incorporation and Bylaws</w:t>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and bylaws include a number of provisions that may have the effect of deterring hostile takeovers or delaying or preventing changes in control of our company, including the following:</w:t>
      </w:r>
    </w:p>
    <w:p>
      <w:pPr>
        <w:sectPr>
          <w:pgSz w:w="12240" w:h="15840" w:orient="portrait"/>
          <w:cols w:equalWidth="0" w:num="1">
            <w:col w:w="9360"/>
          </w:cols>
          <w:pgMar w:left="1440" w:top="1440" w:right="1440" w:bottom="1159" w:gutter="0" w:footer="0" w:header="0"/>
        </w:sectPr>
      </w:pPr>
    </w:p>
    <w:bookmarkStart w:id="99" w:name="page100"/>
    <w:bookmarkEnd w:id="99"/>
    <w:p>
      <w:pPr>
        <w:spacing w:after="0" w:line="247" w:lineRule="auto"/>
        <w:rPr>
          <w:sz w:val="20"/>
          <w:szCs w:val="20"/>
          <w:color w:val="auto"/>
        </w:rPr>
      </w:pPr>
      <w:r>
        <w:rPr>
          <w:rFonts w:ascii="Times New Roman" w:cs="Times New Roman" w:eastAsia="Times New Roman" w:hAnsi="Times New Roman"/>
          <w:sz w:val="20"/>
          <w:szCs w:val="20"/>
          <w:i w:val="1"/>
          <w:iCs w:val="1"/>
          <w:color w:val="auto"/>
        </w:rPr>
        <w:t>Authorized Capital</w:t>
      </w:r>
      <w:r>
        <w:rPr>
          <w:rFonts w:ascii="Times New Roman" w:cs="Times New Roman" w:eastAsia="Times New Roman" w:hAnsi="Times New Roman"/>
          <w:sz w:val="20"/>
          <w:szCs w:val="20"/>
          <w:color w:val="auto"/>
        </w:rPr>
        <w:t>. The issuance of shares of capital stock, or the issuance of rights to purchase shares of capital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could be used to discourage an attempt to obtain control of our company. For example, if, in the exercise of its fiduciary obligations, our board of directors determined that a takeover proposal was not in the best interest of our stockholders, the board could authorize the issuance of preferred stock or common stock without stockholder approval. The shares could be issued in one or more transactions that might prevent or make the completion of the change of control transaction more difficult or costly by:</w:t>
      </w:r>
    </w:p>
    <w:p>
      <w:pPr>
        <w:spacing w:after="0" w:line="94" w:lineRule="exact"/>
        <w:rPr>
          <w:sz w:val="20"/>
          <w:szCs w:val="20"/>
          <w:color w:val="auto"/>
        </w:rPr>
      </w:pPr>
    </w:p>
    <w:p>
      <w:pPr>
        <w:ind w:left="720" w:hanging="360"/>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diluting the voting or other rights of the proposed acquirer or insurgent stockholder group,</w:t>
      </w:r>
    </w:p>
    <w:p>
      <w:pPr>
        <w:spacing w:after="0" w:line="35" w:lineRule="exact"/>
        <w:rPr>
          <w:rFonts w:ascii="Arial" w:cs="Arial" w:eastAsia="Arial" w:hAnsi="Arial"/>
          <w:sz w:val="20"/>
          <w:szCs w:val="20"/>
          <w:color w:val="auto"/>
        </w:rPr>
      </w:pPr>
    </w:p>
    <w:p>
      <w:pPr>
        <w:ind w:left="720" w:right="40" w:hanging="360"/>
        <w:spacing w:after="0" w:line="247"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creating a substantial voting bloc in institutional or other hands that might undertake to support the position of the incumbent board, or</w:t>
      </w:r>
    </w:p>
    <w:p>
      <w:pPr>
        <w:ind w:left="720" w:hanging="360"/>
        <w:spacing w:after="0"/>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effecting an acquisition that might complicate or preclude the takeover.</w:t>
      </w:r>
    </w:p>
    <w:p>
      <w:pPr>
        <w:spacing w:after="0" w:line="253" w:lineRule="exact"/>
        <w:rPr>
          <w:sz w:val="20"/>
          <w:szCs w:val="20"/>
          <w:color w:val="auto"/>
        </w:rPr>
      </w:pPr>
    </w:p>
    <w:p>
      <w:pPr>
        <w:ind w:right="80" w:firstLine="30"/>
        <w:spacing w:after="0" w:line="258" w:lineRule="auto"/>
        <w:rPr>
          <w:sz w:val="20"/>
          <w:szCs w:val="20"/>
          <w:color w:val="auto"/>
        </w:rPr>
      </w:pPr>
      <w:r>
        <w:rPr>
          <w:rFonts w:ascii="Times New Roman" w:cs="Times New Roman" w:eastAsia="Times New Roman" w:hAnsi="Times New Roman"/>
          <w:sz w:val="20"/>
          <w:szCs w:val="20"/>
          <w:color w:val="auto"/>
        </w:rPr>
        <w:t>In this regard, our amended and restated certificate of incorporation grants our board of directors broad power to establish the rights and preferences of the authorized and unissued preferred stock. Our board could establish one or more series of preferred stock that entitle holders to:</w:t>
      </w:r>
    </w:p>
    <w:p>
      <w:pPr>
        <w:spacing w:after="0" w:line="193" w:lineRule="exact"/>
        <w:rPr>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vote separately as a class on any proposed merger or consolidation,</w:t>
      </w:r>
    </w:p>
    <w:p>
      <w:pPr>
        <w:spacing w:after="0" w:line="35"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cast a proportionately larger vote together with our common stock on any transaction or for all purposes,</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elect directors having terms of office or voting rights greater than those of other directors,</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convert preferred stock into a greater number of shares of our common stock or other securities,</w:t>
      </w:r>
    </w:p>
    <w:p>
      <w:pPr>
        <w:spacing w:after="0" w:line="13" w:lineRule="exact"/>
        <w:rPr>
          <w:rFonts w:ascii="Arial" w:cs="Arial" w:eastAsia="Arial" w:hAnsi="Arial"/>
          <w:sz w:val="20"/>
          <w:szCs w:val="20"/>
          <w:color w:val="auto"/>
        </w:rPr>
      </w:pPr>
    </w:p>
    <w:p>
      <w:pPr>
        <w:ind w:left="720" w:right="320" w:hanging="360"/>
        <w:spacing w:after="0" w:line="247" w:lineRule="auto"/>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demand redemption at a specified price under prescribed circumstances related to a change of control of our company, or</w:t>
      </w: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exercise other rights designed to impede a takeover.</w:t>
      </w:r>
    </w:p>
    <w:p>
      <w:pPr>
        <w:spacing w:after="0" w:line="25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Alternatively, a change of control transaction deemed by the board to be in the best interest of our stockholders could be facilitated by issuing a series of preferred stock having sufficient voting rights to provide a required percentage vote of the stockholders.</w:t>
      </w:r>
    </w:p>
    <w:p>
      <w:pPr>
        <w:spacing w:after="0" w:line="178" w:lineRule="exact"/>
        <w:rPr>
          <w:sz w:val="20"/>
          <w:szCs w:val="20"/>
          <w:color w:val="auto"/>
        </w:rPr>
      </w:pPr>
    </w:p>
    <w:p>
      <w:pPr>
        <w:ind w:right="420"/>
        <w:spacing w:after="0" w:line="305" w:lineRule="auto"/>
        <w:rPr>
          <w:sz w:val="20"/>
          <w:szCs w:val="20"/>
          <w:color w:val="auto"/>
        </w:rPr>
      </w:pPr>
      <w:r>
        <w:rPr>
          <w:rFonts w:ascii="Times New Roman" w:cs="Times New Roman" w:eastAsia="Times New Roman" w:hAnsi="Times New Roman"/>
          <w:sz w:val="19"/>
          <w:szCs w:val="19"/>
          <w:i w:val="1"/>
          <w:iCs w:val="1"/>
          <w:color w:val="auto"/>
        </w:rPr>
        <w:t>Action by Written Consent</w:t>
      </w:r>
      <w:r>
        <w:rPr>
          <w:rFonts w:ascii="Times New Roman" w:cs="Times New Roman" w:eastAsia="Times New Roman" w:hAnsi="Times New Roman"/>
          <w:sz w:val="19"/>
          <w:szCs w:val="19"/>
          <w:color w:val="auto"/>
        </w:rPr>
        <w:t>. Our amended and restated certificate of incorporation and our amended and restated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bylaws provide that holders of our common stock are not able to act by written consent without a meeting.</w:t>
      </w:r>
    </w:p>
    <w:p>
      <w:pPr>
        <w:spacing w:after="0" w:line="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i w:val="1"/>
          <w:iCs w:val="1"/>
          <w:color w:val="auto"/>
        </w:rPr>
        <w:t>Advance Notice Requirements for Stockholder Proposals and Director Nominations</w:t>
      </w:r>
      <w:r>
        <w:rPr>
          <w:rFonts w:ascii="Times New Roman" w:cs="Times New Roman" w:eastAsia="Times New Roman" w:hAnsi="Times New Roman"/>
          <w:sz w:val="20"/>
          <w:szCs w:val="20"/>
          <w:color w:val="auto"/>
        </w:rPr>
        <w:t>. Our amended and restated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bylaws provide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i w:val="1"/>
          <w:iCs w:val="1"/>
          <w:color w:val="auto"/>
        </w:rPr>
        <w:t>Amendment of Certificate of Incorporation and Amended and Restated Bylaws</w:t>
      </w:r>
      <w:r>
        <w:rPr>
          <w:rFonts w:ascii="Times New Roman" w:cs="Times New Roman" w:eastAsia="Times New Roman" w:hAnsi="Times New Roman"/>
          <w:sz w:val="20"/>
          <w:szCs w:val="20"/>
          <w:color w:val="auto"/>
        </w:rPr>
        <w:t>. Certain provisions of our amended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restated certificate of incorporation and amended and restated bylaws that have antitakeover effects may be amended only by the affirmative vote of holders of at least two-thirds of the voting power of our outstanding shares of voting stock, voting together as a single class. This has the effect of making it more difficult to amend our certificate of incorporation or bylaws to remove or modify these provisions. The affirmative vote of holders of a majority of the voting power of our outstanding shares of stock is generally able to amend other provisions of our amended and restated certificate of incorporation and the holders of a majority of the voting power present and entitled to vote is generally able to amend other provisions of our amended and restated bylaws.</w:t>
      </w:r>
    </w:p>
    <w:p>
      <w:pPr>
        <w:spacing w:after="0" w:line="20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These provisions of our amended and restated certificate of incorporation and amended and restated bylaws could make it more difficult to acquire of control of us by means of a tender offer, merger, proxy contest or otherwise. Accordingly, these provisions could have the effect of discouraging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ectPr>
          <w:pgSz w:w="12240" w:h="15840" w:orient="portrait"/>
          <w:cols w:equalWidth="0" w:num="1">
            <w:col w:w="9360"/>
          </w:cols>
          <w:pgMar w:left="1440" w:top="1420" w:right="1440" w:bottom="1077"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Exclusive Forum</w:t>
      </w:r>
    </w:p>
    <w:p>
      <w:pPr>
        <w:spacing w:after="0" w:line="12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Our amended and restated charter documents provide, subject to limited exceptions, that unless we consent to the selection of an alternative forum, the Court of Chancery of the State of Delaware (or if such court does not have subject matter jurisdiction another state or the federal court (as appropriate) located within the State of Delaware) shall, to the fullest extent permitted by law, be the sole and exclusive forum for any (1) derivative action or proceeding brought on our behalf, (2) action asserting a claim of breach of a fiduciary duty owed by any current or former director, officer or other employee or stockholder of ours to us or our stockholders, (3) action asserting a claim against us or any current or former director or officer of ours arising pursuant to any provision of the DGCL or our amended and restated certificate of incorporation or our amended and restated bylaws or as to which the DGCL confers jurisdiction on the Court of Chancery of the State of Delaware, or (4) action asserting a claim governed by the internal affairs doctrine of the State of Delaware.</w:t>
      </w:r>
    </w:p>
    <w:p>
      <w:pPr>
        <w:spacing w:after="0" w:line="202"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20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shares of our capital stock shall be deemed to have notice of and consented to the forum provisions in our amended and restated charter documents. Our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 of Liability and Indemnification of Directors and Officers</w:t>
      </w:r>
    </w:p>
    <w:p>
      <w:pPr>
        <w:spacing w:after="0" w:line="12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DGCL authorizes corporations to limit or eliminate the personal liability of directors and certain officers to corporations and their stockholders for monetary damages for breaches of directors’ fiduciary duties, subject to certain exceptions. Our amended and restated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Further, the exculpation does not apply to any director or officer if the director or officer has breached the duty of loyalty to the corporation and its stockholders, acted in bad faith, knowingly or intentionally violated the law, or derived an improper benefit from his or her actions as a director or officer. In addition, exculpation does not apply to any director in connection with the authorization of illegal dividends, redemptions or stock repurchases.</w:t>
      </w:r>
    </w:p>
    <w:p>
      <w:pPr>
        <w:spacing w:after="0" w:line="20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Our amended and restated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have entered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20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The limitation of liability, indemnification and advancement provisions in our amended and restated certificate of incorporation and amended and restated bylaws may discourage stockholders from bringing a lawsuit against</w:t>
      </w:r>
    </w:p>
    <w:p>
      <w:pPr>
        <w:sectPr>
          <w:pgSz w:w="12240" w:h="15840" w:orient="portrait"/>
          <w:cols w:equalWidth="0" w:num="1">
            <w:col w:w="9360"/>
          </w:cols>
          <w:pgMar w:left="1440" w:top="1416" w:right="1440" w:bottom="855" w:gutter="0" w:footer="0" w:header="0"/>
        </w:sectPr>
      </w:pPr>
    </w:p>
    <w:bookmarkStart w:id="101" w:name="page102"/>
    <w:bookmarkEnd w:id="101"/>
    <w:p>
      <w:pPr>
        <w:ind w:right="200"/>
        <w:spacing w:after="0" w:line="249" w:lineRule="auto"/>
        <w:rPr>
          <w:sz w:val="20"/>
          <w:szCs w:val="20"/>
          <w:color w:val="auto"/>
        </w:rPr>
      </w:pPr>
      <w:r>
        <w:rPr>
          <w:rFonts w:ascii="Times New Roman" w:cs="Times New Roman" w:eastAsia="Times New Roman" w:hAnsi="Times New Roman"/>
          <w:sz w:val="20"/>
          <w:szCs w:val="20"/>
          <w:color w:val="auto"/>
        </w:rPr>
        <w:t>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 of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Global Market under the symbol “SHIM.”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Equiniti Trust Company.</w:t>
      </w:r>
    </w:p>
    <w:p>
      <w:pPr>
        <w:sectPr>
          <w:pgSz w:w="12240" w:h="15840" w:orient="portrait"/>
          <w:cols w:equalWidth="0" w:num="1">
            <w:col w:w="9360"/>
          </w:cols>
          <w:pgMar w:left="1440" w:top="1420"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4"/>
          <w:szCs w:val="24"/>
          <w:b w:val="1"/>
          <w:bCs w:val="1"/>
          <w:color w:val="auto"/>
        </w:rPr>
        <w:t>FINANCING AGREEMENT</w:t>
      </w:r>
    </w:p>
    <w:p>
      <w:pPr>
        <w:spacing w:after="0" w:line="28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3"/>
          <w:szCs w:val="23"/>
          <w:color w:val="auto"/>
        </w:rPr>
        <w:t>This Financing Agreement (“Agreement”) is made and entered into this 26</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23"/>
          <w:szCs w:val="23"/>
          <w:color w:val="auto"/>
        </w:rPr>
        <w:t xml:space="preserve"> day of March, 2024, by and among Shimmick Corporation f/k/a SCCI National Holdings, Inc., Shimmick Construction Company, Inc., The Leasing Corporation, Rust Constructors, Inc., and Rust Constructors Puerto Rico, Inc., and any and all affiliates, subsidiaries, successors and assigns thereof (individually and collectively, “Indemnitors”); and Berkshire Hathaway Specialty Insurance Company, National Liability &amp; Fire Insurance Company, National Indemnity Company and any and all affiliates, subsidiaries, successors and assigns thereof (collectively, “Surety”).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RECITALS</w:t>
      </w:r>
    </w:p>
    <w:p>
      <w:pPr>
        <w:spacing w:after="0" w:line="28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4"/>
          <w:szCs w:val="24"/>
          <w:color w:val="auto"/>
        </w:rPr>
        <w:t>WHEREAS, Indemnitors have and continue to request and apply to Surety for payment and performance bonds in connection with various construction contracts;</w:t>
      </w:r>
    </w:p>
    <w:p>
      <w:pPr>
        <w:spacing w:after="0" w:line="18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4"/>
          <w:szCs w:val="24"/>
          <w:color w:val="auto"/>
        </w:rPr>
        <w:t xml:space="preserve">WHEREAS, in order to induce Surety to issue such bonds, each of the Indemnitors has heretofore made and entered into a General Agreement of Indemnity and a related rider in favor of Surety (the “GAI”) (a copy of the GAI, which is fully incorporated herein, is attached hereto as </w:t>
      </w:r>
      <w:r>
        <w:rPr>
          <w:rFonts w:ascii="Times New Roman" w:cs="Times New Roman" w:eastAsia="Times New Roman" w:hAnsi="Times New Roman"/>
          <w:sz w:val="24"/>
          <w:szCs w:val="24"/>
          <w:u w:val="single" w:color="auto"/>
          <w:color w:val="auto"/>
        </w:rPr>
        <w:t>Exhibit 1</w:t>
      </w:r>
      <w:r>
        <w:rPr>
          <w:rFonts w:ascii="Times New Roman" w:cs="Times New Roman" w:eastAsia="Times New Roman" w:hAnsi="Times New Roman"/>
          <w:sz w:val="24"/>
          <w:szCs w:val="24"/>
          <w:color w:val="auto"/>
        </w:rPr>
        <w:t>);</w:t>
      </w:r>
    </w:p>
    <w:p>
      <w:pPr>
        <w:spacing w:after="0" w:line="22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4"/>
          <w:szCs w:val="24"/>
          <w:color w:val="auto"/>
        </w:rPr>
        <w:t xml:space="preserve">WHEREAS, Surety, in reliance upon the terms and obligations set forth in the GAI, has, at the request of Indemnitors, issued payment and performance bonds (“Bonds”) in connection with certain construction contracts that have been awarded to various contractors (“Contractors”) by various owner/obligees (“Obligees”) for the construction of various projects as set forth in </w:t>
      </w:r>
      <w:r>
        <w:rPr>
          <w:rFonts w:ascii="Times New Roman" w:cs="Times New Roman" w:eastAsia="Times New Roman" w:hAnsi="Times New Roman"/>
          <w:sz w:val="24"/>
          <w:szCs w:val="24"/>
          <w:u w:val="single" w:color="auto"/>
          <w:color w:val="auto"/>
        </w:rPr>
        <w:t>Exhibit 2</w:t>
      </w:r>
      <w:r>
        <w:rPr>
          <w:rFonts w:ascii="Times New Roman" w:cs="Times New Roman" w:eastAsia="Times New Roman" w:hAnsi="Times New Roman"/>
          <w:sz w:val="24"/>
          <w:szCs w:val="24"/>
          <w:color w:val="auto"/>
        </w:rPr>
        <w:t xml:space="preserve"> attached hereto (collectively, the “Bonded Contracts”) (The term “Bonds” shall include, without limitation, all performance, payment, retainage or other bonds previously or hereafter issued by Surety on, or in connection with, the Bonded Contracts);</w:t>
      </w:r>
    </w:p>
    <w:p>
      <w:pPr>
        <w:spacing w:after="0" w:line="22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4"/>
          <w:szCs w:val="24"/>
          <w:color w:val="auto"/>
        </w:rPr>
        <w:t>WHEREAS, Indemnitors hereby acknowledge and reaffirm all of their joint and several obligations and liabilities, as Indemnitors under the GAI, to Surety in connection with each of the Bonded Contracts, which GAI shall remain in full force and effect;</w:t>
      </w:r>
    </w:p>
    <w:p>
      <w:pPr>
        <w:spacing w:after="0" w:line="21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4"/>
          <w:szCs w:val="24"/>
          <w:color w:val="auto"/>
        </w:rPr>
        <w:t>WHEREAS, the Bonded Contracts are in various stages of completion, and Indemnitors have requested financial assistance from the Surety to ensure that Indemnitors have sufficient liquidity to complete the Bonded Contracts and discharge their obligations under the Bonds;</w:t>
      </w:r>
    </w:p>
    <w:p>
      <w:pPr>
        <w:spacing w:after="0" w:line="20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4"/>
          <w:szCs w:val="24"/>
          <w:color w:val="auto"/>
        </w:rPr>
        <w:t>WHEREAS</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Indemnitors have offered and/or recommitted certain assets as security for the requested financial assistance and as an inducement for Surety to provide such assistance and forbear enforcing rights under the GAI in accordance with this Agreement;</w:t>
      </w:r>
    </w:p>
    <w:p>
      <w:pPr>
        <w:spacing w:after="0" w:line="21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4"/>
          <w:szCs w:val="24"/>
          <w:color w:val="auto"/>
        </w:rPr>
        <w:t>WHEREAS, in accordance with and subject to the terms and conditions set forth herein, Surety, as a performing surety, intends to provide financial assistance to Indemnitors by making limited funds available to facilitate completion of the work and discharge of Bond obligations arising under one or more of the Bonded Contracts; and</w:t>
      </w:r>
    </w:p>
    <w:p>
      <w:pPr>
        <w:sectPr>
          <w:pgSz w:w="12240" w:h="15840" w:orient="portrait"/>
          <w:cols w:equalWidth="0" w:num="1">
            <w:col w:w="9360"/>
          </w:cols>
          <w:pgMar w:left="1440" w:top="1412" w:right="1440" w:bottom="1440" w:gutter="0" w:footer="0" w:header="0"/>
        </w:sectPr>
      </w:pPr>
    </w:p>
    <w:bookmarkStart w:id="103" w:name="page104"/>
    <w:bookmarkEnd w:id="103"/>
    <w:p>
      <w:pPr>
        <w:jc w:val="both"/>
        <w:ind w:firstLine="720"/>
        <w:spacing w:after="0" w:line="278" w:lineRule="auto"/>
        <w:rPr>
          <w:sz w:val="20"/>
          <w:szCs w:val="20"/>
          <w:color w:val="auto"/>
        </w:rPr>
      </w:pPr>
      <w:r>
        <w:rPr>
          <w:rFonts w:ascii="Times New Roman" w:cs="Times New Roman" w:eastAsia="Times New Roman" w:hAnsi="Times New Roman"/>
          <w:sz w:val="24"/>
          <w:szCs w:val="24"/>
          <w:color w:val="auto"/>
        </w:rPr>
        <w:t>WHEREAS, in order to address, in part, their obligations and duties to Surety under the GAI and the Bonds, Indemnitors are willing to execute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COVENANTS</w:t>
      </w:r>
    </w:p>
    <w:p>
      <w:pPr>
        <w:spacing w:after="0" w:line="28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4"/>
          <w:szCs w:val="24"/>
          <w:color w:val="auto"/>
        </w:rPr>
        <w:t>NOW, THEREFORE, for and in consideration of these premises and other good and valuable consideration, the receipt and sufficiency of which is hereby acknowledged, it is hereby mutually understood and agreed by and among Indemnitors and Surety as follows:</w:t>
      </w:r>
    </w:p>
    <w:p>
      <w:pPr>
        <w:spacing w:after="0" w:line="170" w:lineRule="exact"/>
        <w:rPr>
          <w:sz w:val="20"/>
          <w:szCs w:val="20"/>
          <w:color w:val="auto"/>
        </w:rPr>
      </w:pPr>
    </w:p>
    <w:p>
      <w:pPr>
        <w:jc w:val="both"/>
        <w:spacing w:after="0" w:line="260" w:lineRule="auto"/>
        <w:tabs>
          <w:tab w:leader="none" w:pos="72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Recitals, Defined Terms and Exhibits Incorporated</w:t>
      </w:r>
      <w:r>
        <w:rPr>
          <w:rFonts w:ascii="Times New Roman" w:cs="Times New Roman" w:eastAsia="Times New Roman" w:hAnsi="Times New Roman"/>
          <w:sz w:val="24"/>
          <w:szCs w:val="24"/>
          <w:color w:val="auto"/>
        </w:rPr>
        <w:t>. The above Recitals, defined terms,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and Exhibits, as well as all Exhibits identified hereafter, are fully incorporated herein by this reference as a true and integral part of this Agreement.</w:t>
      </w:r>
    </w:p>
    <w:p>
      <w:pPr>
        <w:spacing w:after="0" w:line="171" w:lineRule="exact"/>
        <w:rPr>
          <w:rFonts w:ascii="Times New Roman" w:cs="Times New Roman" w:eastAsia="Times New Roman" w:hAnsi="Times New Roman"/>
          <w:sz w:val="24"/>
          <w:szCs w:val="24"/>
          <w:color w:val="auto"/>
        </w:rPr>
      </w:pPr>
    </w:p>
    <w:p>
      <w:pPr>
        <w:jc w:val="both"/>
        <w:spacing w:after="0" w:line="253" w:lineRule="auto"/>
        <w:tabs>
          <w:tab w:leader="none" w:pos="72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Additional Definitions</w:t>
      </w:r>
      <w:r>
        <w:rPr>
          <w:rFonts w:ascii="Times New Roman" w:cs="Times New Roman" w:eastAsia="Times New Roman" w:hAnsi="Times New Roman"/>
          <w:sz w:val="24"/>
          <w:szCs w:val="24"/>
          <w:color w:val="auto"/>
        </w:rPr>
        <w:t>. In addition to the defined terms set forth in the Recitals and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exhibits referenced therein and any additional defined terms set forth in the subsequent Paragraphs of this Agreement, the following capitalized terms, as used in this Agreement, are defined as follows:</w:t>
      </w:r>
    </w:p>
    <w:p>
      <w:pPr>
        <w:spacing w:after="0" w:line="184" w:lineRule="exact"/>
        <w:rPr>
          <w:rFonts w:ascii="Times New Roman" w:cs="Times New Roman" w:eastAsia="Times New Roman" w:hAnsi="Times New Roman"/>
          <w:sz w:val="24"/>
          <w:szCs w:val="24"/>
          <w:color w:val="auto"/>
        </w:rPr>
      </w:pPr>
    </w:p>
    <w:p>
      <w:pPr>
        <w:jc w:val="both"/>
        <w:ind w:firstLine="720"/>
        <w:spacing w:after="0" w:line="245" w:lineRule="auto"/>
        <w:tabs>
          <w:tab w:leader="none" w:pos="1440" w:val="left"/>
        </w:tabs>
        <w:numPr>
          <w:ilvl w:val="1"/>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“Contract Funds” shall mean any and all monies payable to or received by Contractors, or any other person or entity on Contractors’ behalf or at Contractors’ direction, under or in connection with the Bonded Contracts, including but not limited to monies earned and to be earned, payment of retained percentages, and final payments due or to become due to Contractors, of every kind or nature under the Bonded Contracts. Consistent with the foregoing, the term “Contract Funds” shall also include payments for all extras, claims, requests for equitable adjustment and/or bonuses, of any other kind or nature, and any amounts received on behalf of subcontractors or suppliers in connection with any of the Bonded Contracts.</w:t>
      </w:r>
    </w:p>
    <w:p>
      <w:pPr>
        <w:spacing w:after="0" w:line="229" w:lineRule="exact"/>
        <w:rPr>
          <w:rFonts w:ascii="Times New Roman" w:cs="Times New Roman" w:eastAsia="Times New Roman" w:hAnsi="Times New Roman"/>
          <w:sz w:val="24"/>
          <w:szCs w:val="24"/>
          <w:color w:val="auto"/>
        </w:rPr>
      </w:pPr>
    </w:p>
    <w:p>
      <w:pPr>
        <w:ind w:left="1440" w:hanging="720"/>
        <w:spacing w:after="0"/>
        <w:tabs>
          <w:tab w:leader="none" w:pos="1440" w:val="left"/>
        </w:tabs>
        <w:numPr>
          <w:ilvl w:val="1"/>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“Bonded Obligations” shall mean obligations arising under the Bonded Contracts.</w:t>
      </w:r>
    </w:p>
    <w:p>
      <w:pPr>
        <w:spacing w:after="0" w:line="275" w:lineRule="exact"/>
        <w:rPr>
          <w:rFonts w:ascii="Times New Roman" w:cs="Times New Roman" w:eastAsia="Times New Roman" w:hAnsi="Times New Roman"/>
          <w:sz w:val="24"/>
          <w:szCs w:val="24"/>
          <w:color w:val="auto"/>
        </w:rPr>
      </w:pPr>
    </w:p>
    <w:p>
      <w:pPr>
        <w:jc w:val="both"/>
        <w:ind w:firstLine="720"/>
        <w:spacing w:after="0" w:line="244" w:lineRule="auto"/>
        <w:tabs>
          <w:tab w:leader="none" w:pos="1500" w:val="left"/>
        </w:tabs>
        <w:numPr>
          <w:ilvl w:val="1"/>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“Miscellaneous Receivables” shall mean: all income from, as well as all proceeds from, the sale, lease, recovery on or other disposition of any and all Collateral (as defined in Paragraph 7 of this Agreement) herein or previously assigned to Surety or with respect to which Surety is hereby or has been provided a security interest or lien and shall also mean and include without any limitation, to the extent related in any way or otherwise allocable in whole or in part to any of the Bonded Contracts, any and all corporate or personal tax refunds, property or proceeds received from any assignment, proceeds from any insurance policies on which Contractors or Indemnitors are an insured or are named as an insured, and proceeds from any settlements, judgments or awards in favor of any Contractors and/or any Indemnitors.</w:t>
      </w:r>
    </w:p>
    <w:p>
      <w:pPr>
        <w:spacing w:after="0" w:line="234" w:lineRule="exact"/>
        <w:rPr>
          <w:rFonts w:ascii="Times New Roman" w:cs="Times New Roman" w:eastAsia="Times New Roman" w:hAnsi="Times New Roman"/>
          <w:sz w:val="24"/>
          <w:szCs w:val="24"/>
          <w:color w:val="auto"/>
        </w:rPr>
      </w:pPr>
    </w:p>
    <w:p>
      <w:pPr>
        <w:jc w:val="both"/>
        <w:ind w:firstLine="720"/>
        <w:spacing w:after="0" w:line="257" w:lineRule="auto"/>
        <w:tabs>
          <w:tab w:leader="none" w:pos="1440" w:val="left"/>
        </w:tabs>
        <w:numPr>
          <w:ilvl w:val="1"/>
          <w:numId w:val="3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“Contract Proceeds” shall mean all monies payable to or received by Indemnitors or any of their subsidiary contractors, or any other subsidiary, person or entity on their behalf, at their direction or in which they have interest, under or in connection with any construction or other contract for which Surety has not issued a Bond or for which no surety bond has been issued, including but not limited to monies earned and to be earned, payment of retained percentages, and final payments due or to become due to Indemnitors or any of their subsidiaries or other person or entity in which they have an interest, of every kind or nature. Consistent with the foregoing, the term “Contract Proceeds” shall also include payments for all extras, claims, requests for equitable</w:t>
      </w:r>
    </w:p>
    <w:p>
      <w:pPr>
        <w:sectPr>
          <w:pgSz w:w="12240" w:h="15840" w:orient="portrait"/>
          <w:cols w:equalWidth="0" w:num="1">
            <w:col w:w="9360"/>
          </w:cols>
          <w:pgMar w:left="1440" w:top="1416" w:right="1440" w:bottom="455"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ectPr>
          <w:pgSz w:w="12240" w:h="15840" w:orient="portrait"/>
          <w:cols w:equalWidth="0" w:num="1">
            <w:col w:w="9360"/>
          </w:cols>
          <w:pgMar w:left="1440" w:top="1416" w:right="1440" w:bottom="455" w:gutter="0" w:footer="0" w:header="0"/>
          <w:type w:val="continuous"/>
        </w:sectPr>
      </w:pPr>
    </w:p>
    <w:bookmarkStart w:id="104" w:name="page105"/>
    <w:bookmarkEnd w:id="104"/>
    <w:p>
      <w:pPr>
        <w:jc w:val="both"/>
        <w:spacing w:after="0" w:line="259" w:lineRule="auto"/>
        <w:rPr>
          <w:sz w:val="20"/>
          <w:szCs w:val="20"/>
          <w:color w:val="auto"/>
        </w:rPr>
      </w:pPr>
      <w:r>
        <w:rPr>
          <w:rFonts w:ascii="Times New Roman" w:cs="Times New Roman" w:eastAsia="Times New Roman" w:hAnsi="Times New Roman"/>
          <w:sz w:val="24"/>
          <w:szCs w:val="24"/>
          <w:color w:val="auto"/>
        </w:rPr>
        <w:t>adjustment and/or bonuses, of any other kind or nature, and any amounts received on behalf of subcontractors, suppliers or other third parties in connection with any contracts not bonded by Surety and any non-bonded contracts.</w:t>
      </w:r>
    </w:p>
    <w:p>
      <w:pPr>
        <w:spacing w:after="0" w:line="203" w:lineRule="exact"/>
        <w:rPr>
          <w:sz w:val="20"/>
          <w:szCs w:val="20"/>
          <w:color w:val="auto"/>
        </w:rPr>
      </w:pPr>
    </w:p>
    <w:p>
      <w:pPr>
        <w:ind w:left="1440" w:hanging="720"/>
        <w:spacing w:after="0"/>
        <w:tabs>
          <w:tab w:leader="none" w:pos="1440" w:val="left"/>
        </w:tabs>
        <w:numPr>
          <w:ilvl w:val="1"/>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“Payment Event” shall mean the repayment of all Amounts Owed Surety.</w:t>
      </w:r>
    </w:p>
    <w:p>
      <w:pPr>
        <w:spacing w:after="0" w:line="271" w:lineRule="exact"/>
        <w:rPr>
          <w:rFonts w:ascii="Times New Roman" w:cs="Times New Roman" w:eastAsia="Times New Roman" w:hAnsi="Times New Roman"/>
          <w:sz w:val="24"/>
          <w:szCs w:val="24"/>
          <w:color w:val="auto"/>
        </w:rPr>
      </w:pPr>
    </w:p>
    <w:p>
      <w:pPr>
        <w:jc w:val="both"/>
        <w:spacing w:after="0" w:line="250" w:lineRule="auto"/>
        <w:tabs>
          <w:tab w:leader="none" w:pos="720" w:val="left"/>
        </w:tabs>
        <w:numPr>
          <w:ilvl w:val="0"/>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Reaffirmation of Indemnitor Obligations</w:t>
      </w:r>
      <w:r>
        <w:rPr>
          <w:rFonts w:ascii="Times New Roman" w:cs="Times New Roman" w:eastAsia="Times New Roman" w:hAnsi="Times New Roman"/>
          <w:sz w:val="24"/>
          <w:szCs w:val="24"/>
          <w:color w:val="auto"/>
        </w:rPr>
        <w:t>. Indemnitors hereby acknowledge and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reaffirm their obligations and the rights of the Surety under the GAI attached as </w:t>
      </w:r>
      <w:r>
        <w:rPr>
          <w:rFonts w:ascii="Times New Roman" w:cs="Times New Roman" w:eastAsia="Times New Roman" w:hAnsi="Times New Roman"/>
          <w:sz w:val="24"/>
          <w:szCs w:val="24"/>
          <w:u w:val="single" w:color="auto"/>
          <w:color w:val="auto"/>
        </w:rPr>
        <w:t>Exhibit 1</w:t>
      </w:r>
      <w:r>
        <w:rPr>
          <w:rFonts w:ascii="Times New Roman" w:cs="Times New Roman" w:eastAsia="Times New Roman" w:hAnsi="Times New Roman"/>
          <w:sz w:val="24"/>
          <w:szCs w:val="24"/>
          <w:color w:val="auto"/>
        </w:rPr>
        <w:t xml:space="preserve"> and agree that they are and shall be jointly and severally bound by the provisions of the GAI as to each of the Bonds and Bonded Contracts listed in </w:t>
      </w:r>
      <w:r>
        <w:rPr>
          <w:rFonts w:ascii="Times New Roman" w:cs="Times New Roman" w:eastAsia="Times New Roman" w:hAnsi="Times New Roman"/>
          <w:sz w:val="24"/>
          <w:szCs w:val="24"/>
          <w:u w:val="single" w:color="auto"/>
          <w:color w:val="auto"/>
        </w:rPr>
        <w:t>Exhibit 2</w:t>
      </w:r>
      <w:r>
        <w:rPr>
          <w:rFonts w:ascii="Times New Roman" w:cs="Times New Roman" w:eastAsia="Times New Roman" w:hAnsi="Times New Roman"/>
          <w:sz w:val="24"/>
          <w:szCs w:val="24"/>
          <w:color w:val="auto"/>
        </w:rPr>
        <w:t>, as well as to the provisions of this Agreement.</w:t>
      </w:r>
    </w:p>
    <w:p>
      <w:pPr>
        <w:spacing w:after="0" w:line="182" w:lineRule="exact"/>
        <w:rPr>
          <w:rFonts w:ascii="Times New Roman" w:cs="Times New Roman" w:eastAsia="Times New Roman" w:hAnsi="Times New Roman"/>
          <w:sz w:val="24"/>
          <w:szCs w:val="24"/>
          <w:color w:val="auto"/>
        </w:rPr>
      </w:pPr>
    </w:p>
    <w:p>
      <w:pPr>
        <w:jc w:val="both"/>
        <w:spacing w:after="0" w:line="254" w:lineRule="auto"/>
        <w:tabs>
          <w:tab w:leader="none" w:pos="720" w:val="left"/>
        </w:tabs>
        <w:numPr>
          <w:ilvl w:val="0"/>
          <w:numId w:val="3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Liability for Surety Loss</w:t>
      </w:r>
      <w:r>
        <w:rPr>
          <w:rFonts w:ascii="Times New Roman" w:cs="Times New Roman" w:eastAsia="Times New Roman" w:hAnsi="Times New Roman"/>
          <w:sz w:val="23"/>
          <w:szCs w:val="23"/>
          <w:color w:val="auto"/>
        </w:rPr>
        <w:t>. Indemnitors acknowledge, agree and reaffirm that all amounts</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paid and all liabilities, losses, and expenses incurred under or related to this Agreement constitute Loss as that term is defined by the GAI, as to which Indemnitors are jointly and severally obligated to indemnify and hold harmless Surety. Indemnitors further acknowledge and agree that the following also constitute Loss, as that term is defined by the GAI, as to which they are also jointly and severally obligated to indemnify and hold harmless Surety: all damages, expenses, losses, costs, professional and consulting fees (including but not limited to legal fees), disbursements, interest and expenses of every nature (including premium and fees due for the issuance and continuance of the Bonds) which the Surety sustains or incurs or becomes liable for by reason of</w:t>
      </w:r>
    </w:p>
    <w:p>
      <w:pPr>
        <w:spacing w:after="0" w:line="2" w:lineRule="exact"/>
        <w:rPr>
          <w:rFonts w:ascii="Times New Roman" w:cs="Times New Roman" w:eastAsia="Times New Roman" w:hAnsi="Times New Roman"/>
          <w:sz w:val="23"/>
          <w:szCs w:val="23"/>
          <w:color w:val="auto"/>
        </w:rPr>
      </w:pPr>
    </w:p>
    <w:p>
      <w:pPr>
        <w:jc w:val="both"/>
        <w:spacing w:after="0" w:line="241"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(a) being requested to execute or procure the execution of any Bond or this Agreement; or (b) having executed or procured the execution of any Bond or this Agreement; or (c) the administration of any amendment, waiver or supplement to any Bond or this Agreement; or (d) any Indemnitor’s failure to perform or discharge obligations under any Bond or Bonded Contract or to perform or comply with any of the covenants and conditions of this Agreement or the GAI; or (e) enforcement of, or preservation of rights under any Bond, this Agreement or the GAI.</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4"/>
          <w:szCs w:val="24"/>
          <w:color w:val="auto"/>
        </w:rPr>
        <w:t>Without limiting the foregoing, such Loss shall include, but not necessarily be limited to all damages, losses, reasonable costs, reasonable attorneys’, accountants’, engineers’, and consulting fees, and all other reasonable expenses incurred in connection therewith, which Surety may sustain, incur, or to which it may be exposed by reason of executing or procuring the execution of said Bonds, or any other bond(s) issued by Surety which may already or hereafter be executed on behalf of Contractors, or renewal or continuation thereof; or which may be sustained or incurred by reason of (1) making any investigation on account thereof, (2) prosecuting or defending any case involving any salvage or other recovery in connection therewith; (3) enforcing by litigation or otherwise any of the provisions of this Agreement or the GAI; (4) evaluating and considering Indemnitors’ requests for financial assistance to Surety; or (5) in the formation or administration of this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3"/>
          <w:szCs w:val="23"/>
          <w:color w:val="auto"/>
        </w:rPr>
        <w:t>Surety Loss shall also include, but not be limited to (1) any and all funds provided by Surety under this Agreement and any and all other amounts paid by Surety to Indemnitors to fund completion of the Bonded Contracts, including any payments to subcontractors or suppliers and all related costs, fees, expenses and interest; (2) any and all amounts paid for claims made under any Bonds;</w:t>
      </w:r>
    </w:p>
    <w:p>
      <w:pPr>
        <w:spacing w:after="0" w:line="1" w:lineRule="exact"/>
        <w:rPr>
          <w:sz w:val="20"/>
          <w:szCs w:val="20"/>
          <w:color w:val="auto"/>
        </w:rPr>
      </w:pPr>
    </w:p>
    <w:p>
      <w:pPr>
        <w:jc w:val="both"/>
        <w:spacing w:after="0" w:line="260" w:lineRule="auto"/>
        <w:tabs>
          <w:tab w:leader="none" w:pos="355" w:val="left"/>
        </w:tabs>
        <w:numPr>
          <w:ilvl w:val="0"/>
          <w:numId w:val="3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money judgments and amounts paid in settlement or compromise, of any third party claims, including the full amount of attorney and other professional fees incurred or paid by Surety, court costs and fees; (4) any loss which Surety may sustain or incur as a result of any actions taken by</w:t>
      </w:r>
    </w:p>
    <w:p>
      <w:pPr>
        <w:sectPr>
          <w:pgSz w:w="12240" w:h="15840" w:orient="portrait"/>
          <w:cols w:equalWidth="0" w:num="1">
            <w:col w:w="9360"/>
          </w:cols>
          <w:pgMar w:left="1440" w:top="1416" w:right="1440" w:bottom="455"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3</w:t>
      </w:r>
    </w:p>
    <w:p>
      <w:pPr>
        <w:sectPr>
          <w:pgSz w:w="12240" w:h="15840" w:orient="portrait"/>
          <w:cols w:equalWidth="0" w:num="1">
            <w:col w:w="9360"/>
          </w:cols>
          <w:pgMar w:left="1440" w:top="1416" w:right="1440" w:bottom="455" w:gutter="0" w:footer="0" w:header="0"/>
          <w:type w:val="continuous"/>
        </w:sectPr>
      </w:pPr>
    </w:p>
    <w:bookmarkStart w:id="105" w:name="page106"/>
    <w:bookmarkEnd w:id="105"/>
    <w:p>
      <w:pPr>
        <w:jc w:val="both"/>
        <w:spacing w:after="0" w:line="243" w:lineRule="auto"/>
        <w:rPr>
          <w:sz w:val="20"/>
          <w:szCs w:val="20"/>
          <w:color w:val="auto"/>
        </w:rPr>
      </w:pPr>
      <w:r>
        <w:rPr>
          <w:rFonts w:ascii="Times New Roman" w:cs="Times New Roman" w:eastAsia="Times New Roman" w:hAnsi="Times New Roman"/>
          <w:sz w:val="24"/>
          <w:szCs w:val="24"/>
          <w:color w:val="auto"/>
        </w:rPr>
        <w:t>Surety upon information provided by any of the Indemnitors; (5) any loss resulting from the activity of Contractors individually or as part of a joint venture, partnership, or other entity which has been or may be formed; (6) any amounts that have been paid to Surety to be applied to a Surety loss that a court of competent jurisdiction determines constitutes a “preference” within the meaning of Section 547 of the Bankruptcy Code, and that, by reason thereof, Surety is required to disgorge or refund; (7) any amounts paid by Surety to prosecute any affirmative claim or defend against any claim, (8) any unpaid premiums and fees for the issuance and continuance of Bonds; and (9) interest, at the rate specified below, on all losses paid by Surety, due from the date of Surety’s payment of such sums, including but not limited to any amounts loaned or advanced by Surety or otherwise deposited by Surety into any account provided for hereunder, whether or not interest has been awarded by any court or other tribunal.</w:t>
      </w:r>
    </w:p>
    <w:p>
      <w:pPr>
        <w:spacing w:after="0" w:line="2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4"/>
          <w:szCs w:val="24"/>
          <w:color w:val="auto"/>
        </w:rPr>
        <w:t>All loss described above shall constitute Surety Loss for purposes of this Agreement and under the GAI.</w:t>
      </w:r>
    </w:p>
    <w:p>
      <w:pPr>
        <w:spacing w:after="0" w:line="185" w:lineRule="exact"/>
        <w:rPr>
          <w:sz w:val="20"/>
          <w:szCs w:val="20"/>
          <w:color w:val="auto"/>
        </w:rPr>
      </w:pPr>
    </w:p>
    <w:p>
      <w:pPr>
        <w:jc w:val="both"/>
        <w:spacing w:after="0" w:line="259" w:lineRule="auto"/>
        <w:tabs>
          <w:tab w:leader="none" w:pos="720" w:val="left"/>
        </w:tabs>
        <w:numPr>
          <w:ilvl w:val="0"/>
          <w:numId w:val="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Interest Owed on Payments by Surety and other Surety Losses</w:t>
      </w:r>
      <w:r>
        <w:rPr>
          <w:rFonts w:ascii="Times New Roman" w:cs="Times New Roman" w:eastAsia="Times New Roman" w:hAnsi="Times New Roman"/>
          <w:sz w:val="23"/>
          <w:szCs w:val="23"/>
          <w:color w:val="auto"/>
        </w:rPr>
        <w:t>. To the full extent that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Surety makes any payments under the Bonds or in accordance with the terms of this Agreement or the GAI, advances any monies to Indemnitors or Contractors hereunder, or incurs any other losses as described herein or in the GAI, interest shall run at the rate of SOFR (with a 1% floor) +</w:t>
      </w:r>
    </w:p>
    <w:p>
      <w:pPr>
        <w:jc w:val="both"/>
        <w:spacing w:after="0" w:line="242" w:lineRule="auto"/>
        <w:tabs>
          <w:tab w:leader="none" w:pos="180" w:val="left"/>
        </w:tabs>
        <w:numPr>
          <w:ilvl w:val="0"/>
          <w:numId w:val="4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5% per annum on the amounts paid by Surety, compounded annually from the date of each payment by Surety. Any reimbursements made by Indemnitors or Contractors to Surety shall be first applied to interest which has accrued on the payments made or other losses incurred by Surety, and then to the principal amounts of the payments or losses.</w:t>
      </w:r>
    </w:p>
    <w:p>
      <w:pPr>
        <w:spacing w:after="0" w:line="192" w:lineRule="exact"/>
        <w:rPr>
          <w:rFonts w:ascii="Times New Roman" w:cs="Times New Roman" w:eastAsia="Times New Roman" w:hAnsi="Times New Roman"/>
          <w:sz w:val="24"/>
          <w:szCs w:val="24"/>
          <w:color w:val="auto"/>
        </w:rPr>
      </w:pPr>
    </w:p>
    <w:p>
      <w:pPr>
        <w:jc w:val="both"/>
        <w:spacing w:after="0" w:line="250" w:lineRule="auto"/>
        <w:tabs>
          <w:tab w:leader="none" w:pos="720"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Assigned and Secured Collateral</w:t>
      </w:r>
      <w:r>
        <w:rPr>
          <w:rFonts w:ascii="Times New Roman" w:cs="Times New Roman" w:eastAsia="Times New Roman" w:hAnsi="Times New Roman"/>
          <w:sz w:val="24"/>
          <w:szCs w:val="24"/>
          <w:color w:val="auto"/>
        </w:rPr>
        <w:t>. In accordance with Surety’s rights under the GAI,</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Indemnitors hereby reaffirm their assignment to Surety of all collateral identified in the GAI, including but not limited to all Contract Funds. In addition and to the extent not already included in the GAI, Indemnitors further assign to Surety all collateral set forth below (collectively, “Collateral”):</w:t>
      </w:r>
    </w:p>
    <w:p>
      <w:pPr>
        <w:spacing w:after="0" w:line="186" w:lineRule="exact"/>
        <w:rPr>
          <w:rFonts w:ascii="Times New Roman" w:cs="Times New Roman" w:eastAsia="Times New Roman" w:hAnsi="Times New Roman"/>
          <w:sz w:val="24"/>
          <w:szCs w:val="24"/>
          <w:color w:val="auto"/>
        </w:rPr>
      </w:pPr>
    </w:p>
    <w:p>
      <w:pPr>
        <w:ind w:left="720" w:firstLine="720"/>
        <w:spacing w:after="0" w:line="278" w:lineRule="auto"/>
        <w:tabs>
          <w:tab w:leader="none" w:pos="2160" w:val="left"/>
        </w:tabs>
        <w:numPr>
          <w:ilvl w:val="1"/>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monies loaned or advanced by Surety to Indemnitors or Contractors, under this Agreement or otherwise;</w:t>
      </w:r>
    </w:p>
    <w:p>
      <w:pPr>
        <w:spacing w:after="0" w:line="188" w:lineRule="exact"/>
        <w:rPr>
          <w:rFonts w:ascii="Times New Roman" w:cs="Times New Roman" w:eastAsia="Times New Roman" w:hAnsi="Times New Roman"/>
          <w:sz w:val="24"/>
          <w:szCs w:val="24"/>
          <w:color w:val="auto"/>
        </w:rPr>
      </w:pPr>
    </w:p>
    <w:p>
      <w:pPr>
        <w:jc w:val="both"/>
        <w:ind w:left="720" w:firstLine="720"/>
        <w:spacing w:after="0" w:line="252" w:lineRule="auto"/>
        <w:tabs>
          <w:tab w:leader="none" w:pos="2160" w:val="left"/>
        </w:tabs>
        <w:numPr>
          <w:ilvl w:val="1"/>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Contract Funds, received after the Effective Date of this Agreement, including any and all funds or compensation from any claim or equitable adjustment arising under or in connection with any of the Bonded Contracts, the Bonds or any other contracts referred to therein;</w:t>
      </w:r>
    </w:p>
    <w:p>
      <w:pPr>
        <w:spacing w:after="0" w:line="220" w:lineRule="exact"/>
        <w:rPr>
          <w:rFonts w:ascii="Times New Roman" w:cs="Times New Roman" w:eastAsia="Times New Roman" w:hAnsi="Times New Roman"/>
          <w:sz w:val="24"/>
          <w:szCs w:val="24"/>
          <w:color w:val="auto"/>
        </w:rPr>
      </w:pPr>
    </w:p>
    <w:p>
      <w:pPr>
        <w:ind w:left="720" w:firstLine="720"/>
        <w:spacing w:after="0" w:line="278" w:lineRule="auto"/>
        <w:tabs>
          <w:tab w:leader="none" w:pos="2160" w:val="left"/>
        </w:tabs>
        <w:numPr>
          <w:ilvl w:val="1"/>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funds or compensation received after the Effective Date of this Agreement from any contracts, whether bonded or unbonded;</w:t>
      </w:r>
    </w:p>
    <w:p>
      <w:pPr>
        <w:spacing w:after="0" w:line="188" w:lineRule="exact"/>
        <w:rPr>
          <w:rFonts w:ascii="Times New Roman" w:cs="Times New Roman" w:eastAsia="Times New Roman" w:hAnsi="Times New Roman"/>
          <w:sz w:val="24"/>
          <w:szCs w:val="24"/>
          <w:color w:val="auto"/>
        </w:rPr>
      </w:pPr>
    </w:p>
    <w:p>
      <w:pPr>
        <w:jc w:val="both"/>
        <w:ind w:left="720" w:firstLine="720"/>
        <w:spacing w:after="0" w:line="259" w:lineRule="auto"/>
        <w:tabs>
          <w:tab w:leader="none" w:pos="2160" w:val="left"/>
        </w:tabs>
        <w:numPr>
          <w:ilvl w:val="1"/>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inventory, regardless of where located or stored, that now or may hereafter be utilized in connection with any of the Bonded Contracts, the Bonds or any other contracts referred to therein;</w:t>
      </w:r>
    </w:p>
    <w:p>
      <w:pPr>
        <w:sectPr>
          <w:pgSz w:w="12240" w:h="15840" w:orient="portrait"/>
          <w:cols w:equalWidth="0" w:num="1">
            <w:col w:w="9360"/>
          </w:cols>
          <w:pgMar w:left="1440" w:top="1416" w:right="1440" w:bottom="4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4</w:t>
      </w:r>
    </w:p>
    <w:p>
      <w:pPr>
        <w:sectPr>
          <w:pgSz w:w="12240" w:h="15840" w:orient="portrait"/>
          <w:cols w:equalWidth="0" w:num="1">
            <w:col w:w="9360"/>
          </w:cols>
          <w:pgMar w:left="1440" w:top="1416" w:right="1440" w:bottom="455" w:gutter="0" w:footer="0" w:header="0"/>
          <w:type w:val="continuous"/>
        </w:sectPr>
      </w:pPr>
    </w:p>
    <w:bookmarkStart w:id="106" w:name="page107"/>
    <w:bookmarkEnd w:id="106"/>
    <w:p>
      <w:pPr>
        <w:jc w:val="both"/>
        <w:ind w:left="720" w:firstLine="720"/>
        <w:spacing w:after="0" w:line="259" w:lineRule="auto"/>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rights, title and interests in and to all purchase orders or other supply contracts let or to be let in connection with any of the Bonded Contracts, the Bonds or any other contracts referred to therein;</w:t>
      </w:r>
    </w:p>
    <w:p>
      <w:pPr>
        <w:spacing w:after="0" w:line="210" w:lineRule="exact"/>
        <w:rPr>
          <w:rFonts w:ascii="Times New Roman" w:cs="Times New Roman" w:eastAsia="Times New Roman" w:hAnsi="Times New Roman"/>
          <w:sz w:val="24"/>
          <w:szCs w:val="24"/>
          <w:color w:val="auto"/>
        </w:rPr>
      </w:pPr>
    </w:p>
    <w:p>
      <w:pPr>
        <w:jc w:val="both"/>
        <w:ind w:left="720" w:firstLine="720"/>
        <w:spacing w:after="0" w:line="247" w:lineRule="auto"/>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rights, title and interests in and to all actions, causes of action, claims and/or demands and monies due or to become due from any such actions, causes of action, claims, requests for equitable adjustment or demands whatsoever, including all settlements, judgments and awards, that Contractors and/or Indemnitors may have or acquire against any subcontractor, supplier, surety, obligee, design professional or any other third party arising under or related to any of the Bonded Contracts;</w:t>
      </w:r>
    </w:p>
    <w:p>
      <w:pPr>
        <w:spacing w:after="0" w:line="227" w:lineRule="exact"/>
        <w:rPr>
          <w:rFonts w:ascii="Times New Roman" w:cs="Times New Roman" w:eastAsia="Times New Roman" w:hAnsi="Times New Roman"/>
          <w:sz w:val="24"/>
          <w:szCs w:val="24"/>
          <w:color w:val="auto"/>
        </w:rPr>
      </w:pPr>
    </w:p>
    <w:p>
      <w:pPr>
        <w:jc w:val="both"/>
        <w:ind w:left="720" w:firstLine="720"/>
        <w:spacing w:after="0" w:line="247" w:lineRule="auto"/>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rights, title and interests in and to any monies due or to become due under any policy of insurance relating to any claims arising in any manner out of the performance of any of the Bonded Contracts and the Bonds or any other contracts referred to therein, which shall include but not be limited to all claims under and proceeds from any builder’s risk, fire, political risk, employee dishonesty or worker’s compensation insurance policies, including premium refunds;</w:t>
      </w:r>
    </w:p>
    <w:p>
      <w:pPr>
        <w:spacing w:after="0" w:line="227" w:lineRule="exact"/>
        <w:rPr>
          <w:rFonts w:ascii="Times New Roman" w:cs="Times New Roman" w:eastAsia="Times New Roman" w:hAnsi="Times New Roman"/>
          <w:sz w:val="24"/>
          <w:szCs w:val="24"/>
          <w:color w:val="auto"/>
        </w:rPr>
      </w:pPr>
    </w:p>
    <w:p>
      <w:pPr>
        <w:ind w:left="720" w:firstLine="720"/>
        <w:spacing w:after="0" w:line="278" w:lineRule="auto"/>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all real property to the full extent of any Indemnitors’ interest, direct or through any subsidiary, therein;</w:t>
      </w:r>
    </w:p>
    <w:p>
      <w:pPr>
        <w:spacing w:after="0" w:line="188" w:lineRule="exact"/>
        <w:rPr>
          <w:rFonts w:ascii="Times New Roman" w:cs="Times New Roman" w:eastAsia="Times New Roman" w:hAnsi="Times New Roman"/>
          <w:sz w:val="24"/>
          <w:szCs w:val="24"/>
          <w:color w:val="auto"/>
        </w:rPr>
      </w:pPr>
    </w:p>
    <w:p>
      <w:pPr>
        <w:jc w:val="both"/>
        <w:ind w:left="720" w:firstLine="720"/>
        <w:spacing w:after="0" w:line="257" w:lineRule="auto"/>
        <w:tabs>
          <w:tab w:leader="none" w:pos="2160"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and all existing or future rights to income, repayment, compensation, dividends or other assets or proceeds, tangible or intangible, that are related specifically to the Bonded Contracts arising by through or from any Contractors’ and/or Indemnitors’ equity, investor or other beneficial interest in any other corporate entities performing Bonded Contracts, no matter how constituted, including but not limited to any corporations, partnerships or limited liability companies, and any and all assets, of any kind or nature, of any Contractors’ or Indemnitors’ subsidiary corporate entities to the extent of any and all Contractors’ or Indemnitors’ equity, investor or beneficial interest therein;</w:t>
      </w:r>
    </w:p>
    <w:p>
      <w:pPr>
        <w:spacing w:after="0" w:line="218" w:lineRule="exact"/>
        <w:rPr>
          <w:rFonts w:ascii="Times New Roman" w:cs="Times New Roman" w:eastAsia="Times New Roman" w:hAnsi="Times New Roman"/>
          <w:sz w:val="23"/>
          <w:szCs w:val="23"/>
          <w:color w:val="auto"/>
        </w:rPr>
      </w:pPr>
    </w:p>
    <w:p>
      <w:pPr>
        <w:ind w:left="2160" w:hanging="720"/>
        <w:spacing w:after="0"/>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Miscellaneous Receivables;</w:t>
      </w:r>
    </w:p>
    <w:p>
      <w:pPr>
        <w:spacing w:after="0" w:line="275" w:lineRule="exact"/>
        <w:rPr>
          <w:rFonts w:ascii="Times New Roman" w:cs="Times New Roman" w:eastAsia="Times New Roman" w:hAnsi="Times New Roman"/>
          <w:sz w:val="24"/>
          <w:szCs w:val="24"/>
          <w:color w:val="auto"/>
        </w:rPr>
      </w:pPr>
    </w:p>
    <w:p>
      <w:pPr>
        <w:ind w:left="2160" w:hanging="720"/>
        <w:spacing w:after="0"/>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and all Contract Proceeds;</w:t>
      </w:r>
    </w:p>
    <w:p>
      <w:pPr>
        <w:spacing w:after="0" w:line="275" w:lineRule="exact"/>
        <w:rPr>
          <w:rFonts w:ascii="Times New Roman" w:cs="Times New Roman" w:eastAsia="Times New Roman" w:hAnsi="Times New Roman"/>
          <w:sz w:val="24"/>
          <w:szCs w:val="24"/>
          <w:color w:val="auto"/>
        </w:rPr>
      </w:pPr>
    </w:p>
    <w:p>
      <w:pPr>
        <w:ind w:left="720" w:firstLine="720"/>
        <w:spacing w:after="0" w:line="278" w:lineRule="auto"/>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all equipment, materials, fixed assets and other personal property to the full extent of Indemnitors’ interest, direct or a subsidiary, therein; and</w:t>
      </w:r>
    </w:p>
    <w:p>
      <w:pPr>
        <w:spacing w:after="0" w:line="188" w:lineRule="exact"/>
        <w:rPr>
          <w:rFonts w:ascii="Times New Roman" w:cs="Times New Roman" w:eastAsia="Times New Roman" w:hAnsi="Times New Roman"/>
          <w:sz w:val="24"/>
          <w:szCs w:val="24"/>
          <w:color w:val="auto"/>
        </w:rPr>
      </w:pPr>
    </w:p>
    <w:p>
      <w:pPr>
        <w:ind w:left="2160" w:hanging="720"/>
        <w:spacing w:after="0"/>
        <w:tabs>
          <w:tab w:leader="none" w:pos="2160"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all proceeds and products of all foregoing Collateral.</w:t>
      </w:r>
    </w:p>
    <w:p>
      <w:pPr>
        <w:spacing w:after="0" w:line="2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4"/>
          <w:szCs w:val="24"/>
          <w:color w:val="auto"/>
        </w:rPr>
        <w:t>Promptly upon executing this Agreement, Indemnitors will develop a comprehensive list of the following Collateral items: (i) any and all assets valued at $50,000 or greater, of any nature or kind, in which they or any of them have any interest, with sufficient detail to enable Surety to exercise its assignment rights and/or to confirm, perfect or otherwise establish the liens, security interests and any other rights provided for in the GAI or herein in or against such Collateral, (ii) a detailed list of any corporate entities, no matter how constituted, in which any of them owns an equity, investor or other beneficial interest, describing the nature and extent of each such interest;</w:t>
      </w:r>
    </w:p>
    <w:p>
      <w:pPr>
        <w:sectPr>
          <w:pgSz w:w="12240" w:h="15840" w:orient="portrait"/>
          <w:cols w:equalWidth="0" w:num="1">
            <w:col w:w="9360"/>
          </w:cols>
          <w:pgMar w:left="1440" w:top="1416" w:right="1440" w:bottom="455"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5</w:t>
      </w:r>
    </w:p>
    <w:p>
      <w:pPr>
        <w:sectPr>
          <w:pgSz w:w="12240" w:h="15840" w:orient="portrait"/>
          <w:cols w:equalWidth="0" w:num="1">
            <w:col w:w="9360"/>
          </w:cols>
          <w:pgMar w:left="1440" w:top="1416" w:right="1440" w:bottom="455" w:gutter="0" w:footer="0" w:header="0"/>
          <w:type w:val="continuous"/>
        </w:sectPr>
      </w:pPr>
    </w:p>
    <w:bookmarkStart w:id="107" w:name="page108"/>
    <w:bookmarkEnd w:id="107"/>
    <w:p>
      <w:pPr>
        <w:jc w:val="both"/>
        <w:spacing w:after="0" w:line="252" w:lineRule="auto"/>
        <w:rPr>
          <w:sz w:val="20"/>
          <w:szCs w:val="20"/>
          <w:color w:val="auto"/>
        </w:rPr>
      </w:pPr>
      <w:r>
        <w:rPr>
          <w:rFonts w:ascii="Times New Roman" w:cs="Times New Roman" w:eastAsia="Times New Roman" w:hAnsi="Times New Roman"/>
          <w:sz w:val="24"/>
          <w:szCs w:val="24"/>
          <w:color w:val="auto"/>
        </w:rPr>
        <w:t>and (iii) a detailed list of any assets valued at $50,000 or greater, of any nature or kind, of any subsidiary corporate entity, no matter how constituted, in which any Indemnitors owns or holds an equity, investor or beneficial interest, describing the nature and extent of such interest. Indemnitors will update this list quarterly or as the Surety may otherwise request.</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4"/>
          <w:szCs w:val="24"/>
          <w:color w:val="auto"/>
        </w:rPr>
        <w:t>Indemnitors agree to execute any and all instruments or documents reasonably required or deemed necessary by Surety, which may include but shall not be limited to financing statements under the Uniform Commercial Code (UCC Form 1), state-specific consents, agreements and acknowledgements to impress liens against personal and real property, and liens, to confirm, perfect or otherwise establish the liens, security interests and rights granted as Collateral to Surety under this Agreement or as to any other collateral granted to Surety by Indemnitors under any separate assignment or agreement, including the GAI. The Surety shall have all of the rights and remedies of a lienor and of a secured party under the Uniform Commercial Code in effect in the state in which any Collateral is located.</w:t>
      </w:r>
    </w:p>
    <w:p>
      <w:pPr>
        <w:spacing w:after="0" w:line="231" w:lineRule="exact"/>
        <w:rPr>
          <w:sz w:val="20"/>
          <w:szCs w:val="20"/>
          <w:color w:val="auto"/>
        </w:rPr>
      </w:pPr>
    </w:p>
    <w:p>
      <w:pPr>
        <w:jc w:val="both"/>
        <w:spacing w:after="0" w:line="260" w:lineRule="auto"/>
        <w:tabs>
          <w:tab w:leader="none" w:pos="720"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Insurance on Collateral</w:t>
      </w:r>
      <w:r>
        <w:rPr>
          <w:rFonts w:ascii="Times New Roman" w:cs="Times New Roman" w:eastAsia="Times New Roman" w:hAnsi="Times New Roman"/>
          <w:sz w:val="24"/>
          <w:szCs w:val="24"/>
          <w:color w:val="auto"/>
        </w:rPr>
        <w:t>. Indemnitors shall maintain insurance on all Collateral that is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customarily insured, including but not limited to all real property and certain equipment, and Indemnitors, upon request, shall provide Surety with evidence, satisfactory to the Surety, thereof.</w:t>
      </w:r>
    </w:p>
    <w:p>
      <w:pPr>
        <w:spacing w:after="0" w:line="171" w:lineRule="exact"/>
        <w:rPr>
          <w:rFonts w:ascii="Times New Roman" w:cs="Times New Roman" w:eastAsia="Times New Roman" w:hAnsi="Times New Roman"/>
          <w:sz w:val="24"/>
          <w:szCs w:val="24"/>
          <w:color w:val="auto"/>
        </w:rPr>
      </w:pPr>
    </w:p>
    <w:p>
      <w:pPr>
        <w:jc w:val="both"/>
        <w:spacing w:after="0" w:line="248" w:lineRule="auto"/>
        <w:tabs>
          <w:tab w:leader="none" w:pos="720"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Indemnitors Representation and Warranty</w:t>
      </w:r>
      <w:r>
        <w:rPr>
          <w:rFonts w:ascii="Times New Roman" w:cs="Times New Roman" w:eastAsia="Times New Roman" w:hAnsi="Times New Roman"/>
          <w:sz w:val="24"/>
          <w:szCs w:val="24"/>
          <w:color w:val="auto"/>
        </w:rPr>
        <w:t>. The Indemnitors, for themselves and on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behalf of their related corporate entities, represent and warrant that they have ownership interests in the Contractors, in some cases in varying combinations with joint venture partners. It is understood that all duties, obligations, representations, acknowledgements, affirmations, pledges, releases, and waivers of or by any of the Indemnitors under this Agreement shall equally apply to and bind all Contractors to the full extent of Indemnitors’ interests therein.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4"/>
          <w:szCs w:val="24"/>
          <w:color w:val="auto"/>
        </w:rPr>
        <w:t>With respect to all Bonded Contracts involving joint ventures, the Indemnitors pledge and agree to provide to Surety: (i) in a form acceptable to Surety, a monthly report detailing the project’s scheduled progress, billings to date, contract receipts and status of subcontractor/supplier payments and anticipated costs to complete; and (ii) a copy of any joint venture or similar agreement that governs the relationship between the joint venture partners. Further, as additional Collateral hereunder, the Indemnitors assign to Surety, to the extent assignable, all of their interests arising out of any and all such joint venture or similar agreements, which assignment rights Surety may elect to exercise in its sole discretion.</w:t>
      </w:r>
    </w:p>
    <w:p>
      <w:pPr>
        <w:spacing w:after="0" w:line="190" w:lineRule="exact"/>
        <w:rPr>
          <w:sz w:val="20"/>
          <w:szCs w:val="20"/>
          <w:color w:val="auto"/>
        </w:rPr>
      </w:pPr>
    </w:p>
    <w:p>
      <w:pPr>
        <w:jc w:val="both"/>
        <w:spacing w:after="0" w:line="255" w:lineRule="auto"/>
        <w:tabs>
          <w:tab w:leader="none" w:pos="720" w:val="left"/>
        </w:tabs>
        <w:numPr>
          <w:ilvl w:val="0"/>
          <w:numId w:val="4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Subordination And Assignment Of Inter-Indemnitor Loans And Obligations</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Indemnitors agree further that, to the extent that any Indemnitors or any Contractor or other person or entity over which Indemnitors can exercise control may have advanced or loaned money, extended any credit, pledged any assets, acted as guarantor for, or may now or hereafter have any claims against any Indemnitors or Contractors, all such advances, loans, extensions, pledges, guarantees, claims, and any rights accruing thereunder are hereby subordinated to the interests of Surety under this Agreement and the GAI. Further, the indebtedness created under, and evidenced by, any loan or similar agreements by, between and among any Indemnitors and/or Contractors, including any principal, interest and other amounts due (“Inter-Indemnitor Loans and Obligations”), shall be subordinate and junior to all principal, interest and other amounts due to Surety under this Agreement or the GAI. No beneficiary of the Inter-Indemnitor Loans and Obligations (“Beneficiaries”) shall be entitled to receive or retain any payment from any source</w:t>
      </w:r>
    </w:p>
    <w:p>
      <w:pPr>
        <w:sectPr>
          <w:pgSz w:w="12240" w:h="15840" w:orient="portrait"/>
          <w:cols w:equalWidth="0" w:num="1">
            <w:col w:w="9360"/>
          </w:cols>
          <w:pgMar w:left="1440" w:top="1416" w:right="1440" w:bottom="455"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6</w:t>
      </w:r>
    </w:p>
    <w:p>
      <w:pPr>
        <w:sectPr>
          <w:pgSz w:w="12240" w:h="15840" w:orient="portrait"/>
          <w:cols w:equalWidth="0" w:num="1">
            <w:col w:w="9360"/>
          </w:cols>
          <w:pgMar w:left="1440" w:top="1416" w:right="1440" w:bottom="455" w:gutter="0" w:footer="0" w:header="0"/>
          <w:type w:val="continuous"/>
        </w:sectPr>
      </w:pPr>
    </w:p>
    <w:bookmarkStart w:id="108" w:name="page109"/>
    <w:bookmarkEnd w:id="108"/>
    <w:p>
      <w:pPr>
        <w:spacing w:after="0" w:line="278" w:lineRule="auto"/>
        <w:rPr>
          <w:sz w:val="20"/>
          <w:szCs w:val="20"/>
          <w:color w:val="auto"/>
        </w:rPr>
      </w:pPr>
      <w:r>
        <w:rPr>
          <w:rFonts w:ascii="Times New Roman" w:cs="Times New Roman" w:eastAsia="Times New Roman" w:hAnsi="Times New Roman"/>
          <w:sz w:val="24"/>
          <w:szCs w:val="24"/>
          <w:color w:val="auto"/>
        </w:rPr>
        <w:t>on, or in respect of, any Inter-Indemnitor Loans and Obligations. Nothing in this Agreement creates an obligation for Surety to service any Inter-Indemnitor Loans and Obligations.</w:t>
      </w:r>
    </w:p>
    <w:p>
      <w:pPr>
        <w:spacing w:after="0" w:line="149" w:lineRule="exact"/>
        <w:rPr>
          <w:sz w:val="20"/>
          <w:szCs w:val="20"/>
          <w:color w:val="auto"/>
        </w:rPr>
      </w:pPr>
    </w:p>
    <w:p>
      <w:pPr>
        <w:jc w:val="both"/>
        <w:spacing w:after="0" w:line="244" w:lineRule="auto"/>
        <w:tabs>
          <w:tab w:leader="none" w:pos="720"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Subordination and Assignment of Loans, Fees, and Obligations to Shareholders, Non-Permitted Payments</w:t>
      </w:r>
      <w:r>
        <w:rPr>
          <w:rFonts w:ascii="Times New Roman" w:cs="Times New Roman" w:eastAsia="Times New Roman" w:hAnsi="Times New Roman"/>
          <w:sz w:val="24"/>
          <w:szCs w:val="24"/>
          <w:color w:val="auto"/>
        </w:rPr>
        <w:t>. Indemnitors agree further that, to the extent that any shareholders or</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investor or any affiliate thereof have invested, advanced or loaned any money, extended any credit, pledged any assets, acted as guarantor for, or may now or hereafter have any claims against Indemnitors or Contractors, all such advances, loans, extensions, pledges, guarantees, claims, and any risks accruing thereunder are hereby subordinated to the interests of Surety under this Agreement. Further, the indebtedness created under, and evidenced by, any loan or similar agreements by, between and among any such shareholder or investor or any affiliate thereof, or any other investors, and/or any Indemnitors and/or Contractors, including any principal, interest and other amounts due, shall be subordinate and junior to all principal, interest and other amounts due to Surety under this Agreement or the GAI.</w:t>
      </w:r>
    </w:p>
    <w:p>
      <w:pPr>
        <w:spacing w:after="0" w:line="189" w:lineRule="exact"/>
        <w:rPr>
          <w:rFonts w:ascii="Times New Roman" w:cs="Times New Roman" w:eastAsia="Times New Roman" w:hAnsi="Times New Roman"/>
          <w:sz w:val="24"/>
          <w:szCs w:val="24"/>
          <w:color w:val="auto"/>
        </w:rPr>
      </w:pPr>
    </w:p>
    <w:p>
      <w:pPr>
        <w:jc w:val="both"/>
        <w:spacing w:after="0" w:line="242" w:lineRule="auto"/>
        <w:tabs>
          <w:tab w:leader="none" w:pos="720"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Voluntary Default Letters</w:t>
      </w:r>
      <w:r>
        <w:rPr>
          <w:rFonts w:ascii="Times New Roman" w:cs="Times New Roman" w:eastAsia="Times New Roman" w:hAnsi="Times New Roman"/>
          <w:sz w:val="24"/>
          <w:szCs w:val="24"/>
          <w:color w:val="auto"/>
        </w:rPr>
        <w:t>. As part of this Agreement, and with the consent and approval</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of the Indemnitors hereby given, Indemnitors shall, within three days of execution of this Agreement, provide Surety with executed irrevocable voluntary letters of default and termination (the “Letters of Default”), addressed to the Obligee and executed by the appropriate Bond Principal, for each of the Bonded Contracts listed on </w:t>
      </w:r>
      <w:r>
        <w:rPr>
          <w:rFonts w:ascii="Times New Roman" w:cs="Times New Roman" w:eastAsia="Times New Roman" w:hAnsi="Times New Roman"/>
          <w:sz w:val="24"/>
          <w:szCs w:val="24"/>
          <w:u w:val="single" w:color="auto"/>
          <w:color w:val="auto"/>
        </w:rPr>
        <w:t>Exhibit 2</w:t>
      </w:r>
      <w:r>
        <w:rPr>
          <w:rFonts w:ascii="Times New Roman" w:cs="Times New Roman" w:eastAsia="Times New Roman" w:hAnsi="Times New Roman"/>
          <w:sz w:val="24"/>
          <w:szCs w:val="24"/>
          <w:color w:val="auto"/>
        </w:rPr>
        <w:t xml:space="preserve"> which such Letters of Default shall be held in escrow by Surety. Indemnitors agree that, upon an Instance of Default as defined herein Surety shall have the right to release such Letters of Default from escrow and date and deliver to the Obligee the Letters of Default on each Bonded Contract, individually as to each separate Bonded Contract or as to all of the Bonded Contracts, in the sole option and discretion of Surety, and Indemnitors agree that they will take no action whatsoever to contest, impede or interfere with the Surety’s exercise of its rights under this Paragraph. Upon any Instance of Default under this Agreement, Indemnitors further agree that Surety, at any time, and in its sole and absolute discretion and authority, may relet, negotiate deductions in scope, supplement the work force, complete on its own, or arrange for completion of, or exercise any of its other rights with respect to, any or all of the Bonded Contracts or Bonds.</w:t>
      </w:r>
    </w:p>
    <w:p>
      <w:pPr>
        <w:spacing w:after="0" w:line="205" w:lineRule="exact"/>
        <w:rPr>
          <w:rFonts w:ascii="Times New Roman" w:cs="Times New Roman" w:eastAsia="Times New Roman" w:hAnsi="Times New Roman"/>
          <w:sz w:val="24"/>
          <w:szCs w:val="24"/>
          <w:color w:val="auto"/>
        </w:rPr>
      </w:pPr>
    </w:p>
    <w:p>
      <w:pPr>
        <w:jc w:val="both"/>
        <w:spacing w:after="0" w:line="244" w:lineRule="auto"/>
        <w:tabs>
          <w:tab w:leader="none" w:pos="720"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Letters of Direction</w:t>
      </w:r>
      <w:r>
        <w:rPr>
          <w:rFonts w:ascii="Times New Roman" w:cs="Times New Roman" w:eastAsia="Times New Roman" w:hAnsi="Times New Roman"/>
          <w:sz w:val="24"/>
          <w:szCs w:val="24"/>
          <w:color w:val="auto"/>
        </w:rPr>
        <w:t>. With the agreement and consent of the Indemnitors hereby given,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Indemnitors shall, within three days of the execution of this Agreement, for each of the Bonded Contracts, provide Surety with an executed irrevocable Letter of Direction addressed to the Obligee, directing that Obligee deliver all payments or other Contract Funds from the Bonded Contracts to Surety and made payable jointly to Surety and Contractors. Indemnitors agree that, upon an Instance of Default as defined herein Surety shall have the right to date and deliver to the Obligee the Letters of Direction on each Bonded Contract, individually as to each separate Bonded Contract or as to all of the Bonded Contracts, in the sole option and discretion of Surety, and Indemnitors agree that they will take no action whatsoever to contest, impede or interfere with the Surety’s exercise of its rights under this Paragraph.</w:t>
      </w:r>
    </w:p>
    <w:p>
      <w:pPr>
        <w:spacing w:after="0" w:line="194" w:lineRule="exact"/>
        <w:rPr>
          <w:rFonts w:ascii="Times New Roman" w:cs="Times New Roman" w:eastAsia="Times New Roman" w:hAnsi="Times New Roman"/>
          <w:sz w:val="24"/>
          <w:szCs w:val="24"/>
          <w:color w:val="auto"/>
        </w:rPr>
      </w:pPr>
    </w:p>
    <w:p>
      <w:pPr>
        <w:jc w:val="both"/>
        <w:spacing w:after="0" w:line="263" w:lineRule="auto"/>
        <w:tabs>
          <w:tab w:leader="none" w:pos="720" w:val="left"/>
        </w:tabs>
        <w:numPr>
          <w:ilvl w:val="0"/>
          <w:numId w:val="4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Power of Attorney</w:t>
      </w:r>
      <w:r>
        <w:rPr>
          <w:rFonts w:ascii="Times New Roman" w:cs="Times New Roman" w:eastAsia="Times New Roman" w:hAnsi="Times New Roman"/>
          <w:sz w:val="23"/>
          <w:szCs w:val="23"/>
          <w:color w:val="auto"/>
        </w:rPr>
        <w:t>. In accordance with Surety’s rights under the GAI, Indemnitors</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acknowledge and agree that, following the occurrence of an Instance of Default, Surety or its designee is authorized and empowered to act as their attorney-in-fact, with the right, but not the obligation: (A) to execute on their behalf any assignments, conveyances, deeds, releases, transfers, or any other instruments or documents necessary to effectuate the sale or disposition of any of the</w:t>
      </w:r>
    </w:p>
    <w:p>
      <w:pPr>
        <w:sectPr>
          <w:pgSz w:w="12240" w:h="15840" w:orient="portrait"/>
          <w:cols w:equalWidth="0" w:num="1">
            <w:col w:w="9360"/>
          </w:cols>
          <w:pgMar w:left="1440" w:top="1416" w:right="1440" w:bottom="455"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7</w:t>
      </w:r>
    </w:p>
    <w:p>
      <w:pPr>
        <w:sectPr>
          <w:pgSz w:w="12240" w:h="15840" w:orient="portrait"/>
          <w:cols w:equalWidth="0" w:num="1">
            <w:col w:w="9360"/>
          </w:cols>
          <w:pgMar w:left="1440" w:top="1416" w:right="1440" w:bottom="455" w:gutter="0" w:footer="0" w:header="0"/>
          <w:type w:val="continuous"/>
        </w:sectPr>
      </w:pPr>
    </w:p>
    <w:bookmarkStart w:id="109" w:name="page110"/>
    <w:bookmarkEnd w:id="109"/>
    <w:p>
      <w:pPr>
        <w:jc w:val="both"/>
        <w:ind w:right="20"/>
        <w:spacing w:after="0" w:line="255" w:lineRule="auto"/>
        <w:rPr>
          <w:sz w:val="20"/>
          <w:szCs w:val="20"/>
          <w:color w:val="auto"/>
        </w:rPr>
      </w:pPr>
      <w:r>
        <w:rPr>
          <w:rFonts w:ascii="Times New Roman" w:cs="Times New Roman" w:eastAsia="Times New Roman" w:hAnsi="Times New Roman"/>
          <w:sz w:val="23"/>
          <w:szCs w:val="23"/>
          <w:color w:val="auto"/>
        </w:rPr>
        <w:t>Collateral, or to execute any UCC financing statements or other documentation deemed necessary by Surety to confirm, perfect or otherwise establish its liens, security interests and rights to any Collateral; (B) to execute or endorse in the name of Indemnitors or Contractors any and all checks, notes or instruments received by Surety or its representatives, including but not limited to any Bonded Contract Funds, and to deposit such checks, notes and other funds or collateral; and (C) to execute any and all instruments and do and perform any and all acts and things requisite and proper to complete and/or arrange for the completion of the Bonded Contracts and to effectuate any of the terms of this Agreement. Furthermore, Indemnitors hereby ratify and confirm all acts that any attorney may lawfully do or cause to be done by virtue of the power of attorney contained herein or in any other instrument, including the GAI, and Indemnitors agree to protect and hold the Surety harmless for all actions taken as their attorney-in-fact.</w:t>
      </w:r>
    </w:p>
    <w:p>
      <w:pPr>
        <w:spacing w:after="0" w:line="181" w:lineRule="exact"/>
        <w:rPr>
          <w:sz w:val="20"/>
          <w:szCs w:val="20"/>
          <w:color w:val="auto"/>
        </w:rPr>
      </w:pPr>
    </w:p>
    <w:p>
      <w:pPr>
        <w:jc w:val="both"/>
        <w:ind w:right="20"/>
        <w:spacing w:after="0" w:line="245" w:lineRule="auto"/>
        <w:tabs>
          <w:tab w:leader="none" w:pos="720"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Contract Funds Received by Contractors</w:t>
      </w:r>
      <w:r>
        <w:rPr>
          <w:rFonts w:ascii="Times New Roman" w:cs="Times New Roman" w:eastAsia="Times New Roman" w:hAnsi="Times New Roman"/>
          <w:sz w:val="24"/>
          <w:szCs w:val="24"/>
          <w:color w:val="auto"/>
        </w:rPr>
        <w:t>. Indemnitors hereby agree that any Bonded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Contract Funds Indemnitors or Contractors may receive contrary to the Letters of Direction sent to the Obligee or because of Indemnitors’ or Contractors’ failure to promptly issue such Letters of Direction or for any other reason shall be held as trust funds by Indemnitors or Contractors and shall be immediately presented to a representative of Surety for deposit. Notwithstanding the foregoing, to the extent bona fide competing claims are asserted to any such funds, Indemnitors may deposit the disputed portion of such funds in a separate escrow account and shall hold such funds in trust for the Surety’s benefit pending final resolution of the claims.</w:t>
      </w:r>
    </w:p>
    <w:p>
      <w:pPr>
        <w:spacing w:after="0" w:line="193" w:lineRule="exact"/>
        <w:rPr>
          <w:rFonts w:ascii="Times New Roman" w:cs="Times New Roman" w:eastAsia="Times New Roman" w:hAnsi="Times New Roman"/>
          <w:sz w:val="24"/>
          <w:szCs w:val="24"/>
          <w:color w:val="auto"/>
        </w:rPr>
      </w:pPr>
    </w:p>
    <w:p>
      <w:pPr>
        <w:jc w:val="both"/>
        <w:ind w:right="20"/>
        <w:spacing w:after="0" w:line="243" w:lineRule="auto"/>
        <w:tabs>
          <w:tab w:leader="none" w:pos="720"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Delivery of Miscellaneous Receivables, Contract Proceeds, and Proceeds from Bonded Contract Actions</w:t>
      </w:r>
      <w:r>
        <w:rPr>
          <w:rFonts w:ascii="Times New Roman" w:cs="Times New Roman" w:eastAsia="Times New Roman" w:hAnsi="Times New Roman"/>
          <w:sz w:val="24"/>
          <w:szCs w:val="24"/>
          <w:color w:val="auto"/>
        </w:rPr>
        <w:t>. Indemnitors agree that upon an Instance of Default they shall cause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to be delivered to Surety for deposit all Miscellaneous Receivables, all Contract Proceeds, and all recoveries from Bonded Contracts actions, including but not limited to all recoveries made in any claim, action or proceeding brought against any Obligee, subcontractor, supplier or vendor or any other third party with respect to any Bonded Contract. Indemnitors further hereby agree to execute such document or documents as may be required by Surety to cause all Miscellaneous Receivables, all Contract Proceeds, and proceeds from Bonded Contracts actions to be deposited. Should such Miscellaneous Receivables and Proceeds from Bonded Contracts not be delivered to Surety for deposit, Indemnitors shall remedy this as soon as Indemnitors become aware of it. Notwithstanding the foregoing, to the extent bona fide competing claims are asserted to any such funds, Indemnitors may deposit the disputed portion of such funds in a separate escrow account and shall hold such funds in trust for the Surety’s benefit pending final resolution of the claims.</w:t>
      </w:r>
    </w:p>
    <w:p>
      <w:pPr>
        <w:spacing w:after="0" w:line="195" w:lineRule="exact"/>
        <w:rPr>
          <w:rFonts w:ascii="Times New Roman" w:cs="Times New Roman" w:eastAsia="Times New Roman" w:hAnsi="Times New Roman"/>
          <w:sz w:val="24"/>
          <w:szCs w:val="24"/>
          <w:color w:val="auto"/>
        </w:rPr>
      </w:pPr>
    </w:p>
    <w:p>
      <w:pPr>
        <w:jc w:val="both"/>
        <w:ind w:right="20"/>
        <w:spacing w:after="0" w:line="250" w:lineRule="auto"/>
        <w:tabs>
          <w:tab w:leader="none" w:pos="720"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Surety Advances</w:t>
      </w:r>
      <w:r>
        <w:rPr>
          <w:rFonts w:ascii="Times New Roman" w:cs="Times New Roman" w:eastAsia="Times New Roman" w:hAnsi="Times New Roman"/>
          <w:sz w:val="24"/>
          <w:szCs w:val="24"/>
          <w:color w:val="auto"/>
        </w:rPr>
        <w:t>. In exchange for the security interest in the Collateral listed above and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the terms and conditions of this Agreement, and subject to the provisions of this Agreement, Surety will deliver up to Twenty-Five Million and no/100 Dollars ($25,000,000) by wire transfer in one or more installments to the Indemnitors. Indemnitors use of the funds deposited by Surety shall be to satisfy Bond and Bonded Contract obligations.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4"/>
          <w:szCs w:val="24"/>
          <w:color w:val="auto"/>
        </w:rPr>
        <w:t>Any and all Surety advances beyond this amount shall only be made at the sole discretion of Surety, and nothing in this Agreement creates or imposes upon the Surety any obligation or duty to make any such advances whatsoever. All funds advanced by the Surety shall be used for the purposes expressly set forth in this Agreement. Any obligation of Surety to loan or advance monies shall cease upon an Instance of Default or the Payment Event as defined herein or upon any other termination or expiry of this Agreement.</w:t>
      </w:r>
    </w:p>
    <w:p>
      <w:pPr>
        <w:sectPr>
          <w:pgSz w:w="12240" w:h="15840" w:orient="portrait"/>
          <w:cols w:equalWidth="0" w:num="1">
            <w:col w:w="9380"/>
          </w:cols>
          <w:pgMar w:left="1440" w:top="1416" w:right="1420" w:bottom="455" w:gutter="0" w:footer="0" w:header="0"/>
        </w:sect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8</w:t>
      </w:r>
    </w:p>
    <w:p>
      <w:pPr>
        <w:sectPr>
          <w:pgSz w:w="12240" w:h="15840" w:orient="portrait"/>
          <w:cols w:equalWidth="0" w:num="1">
            <w:col w:w="9380"/>
          </w:cols>
          <w:pgMar w:left="1440" w:top="1416" w:right="1420" w:bottom="455" w:gutter="0" w:footer="0" w:header="0"/>
          <w:type w:val="continuous"/>
        </w:sectPr>
      </w:pPr>
    </w:p>
    <w:bookmarkStart w:id="110" w:name="page111"/>
    <w:bookmarkEnd w:id="110"/>
    <w:p>
      <w:pPr>
        <w:spacing w:after="0" w:line="25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4"/>
          <w:szCs w:val="24"/>
          <w:color w:val="auto"/>
        </w:rPr>
        <w:t>All monies that Surety may advance or loan to Indemnitors or Contractors shall constitute and be considered trust funds for the purposes set forth in this Agreement.</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3"/>
          <w:szCs w:val="23"/>
          <w:color w:val="auto"/>
        </w:rPr>
        <w:t>On a weekly basis, Indemnitors shall provide to Surety a cash flow report for each Bonded Project and for any other project for which funding may be provided by Surety. The report shall include information explaining how the funds received on each project are to be used. Specifically, the report shall confirm that the funds are only being used to pay subcontractors, material men, suppliers, and/or laborers performing work on the Project from which the funds are generated.</w:t>
      </w:r>
    </w:p>
    <w:p>
      <w:pPr>
        <w:spacing w:after="0" w:line="208" w:lineRule="exact"/>
        <w:rPr>
          <w:sz w:val="20"/>
          <w:szCs w:val="20"/>
          <w:color w:val="auto"/>
        </w:rPr>
      </w:pPr>
    </w:p>
    <w:p>
      <w:pPr>
        <w:jc w:val="both"/>
        <w:spacing w:after="0" w:line="250" w:lineRule="auto"/>
        <w:tabs>
          <w:tab w:leader="none" w:pos="720" w:val="left"/>
        </w:tabs>
        <w:numPr>
          <w:ilvl w:val="0"/>
          <w:numId w:val="4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Repayment of Surety Losses</w:t>
      </w:r>
      <w:r>
        <w:rPr>
          <w:rFonts w:ascii="Times New Roman" w:cs="Times New Roman" w:eastAsia="Times New Roman" w:hAnsi="Times New Roman"/>
          <w:sz w:val="24"/>
          <w:szCs w:val="24"/>
          <w:color w:val="auto"/>
        </w:rPr>
        <w:t>. All Surety losses, as described in this Agreement, including</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without limitation any and all loans or advances by the Surety, together with all accrued interest thereon as provided for in this Agreement, less any amounts used to offset Surety losses, shall be due and payable in full (“Amounts Owed Surety”) by Indemnitors, jointly and severally, to Surety or its assigns on or before March 28, 2028 (“Payment Event”).</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4"/>
          <w:szCs w:val="24"/>
          <w:color w:val="auto"/>
        </w:rPr>
        <w:t>Surety agrees to provide to Indemnitors a statement of Losses upon reasonable request within forty-five (45) days or promptly in advance of a potential Payment Event, which statement will be current through the date of the request. Notwithstanding anything contained herein to the contrary, as of the date of the occurrence of any Instance of Default, and without demand or notice therefore, all Amounts Owed Surety, including all accrued interest, shall be immediately due and payable. Nothing contained herein shall limit the rights of Surety to recover from Indemnitors or Contractors any amounts due Surety under this Agreement, the Bonds, under the GAI, by statute, at law or in equity.</w:t>
      </w:r>
    </w:p>
    <w:p>
      <w:pPr>
        <w:spacing w:after="0" w:line="226" w:lineRule="exact"/>
        <w:rPr>
          <w:sz w:val="20"/>
          <w:szCs w:val="20"/>
          <w:color w:val="auto"/>
        </w:rPr>
      </w:pPr>
    </w:p>
    <w:p>
      <w:pPr>
        <w:jc w:val="both"/>
        <w:spacing w:after="0" w:line="253" w:lineRule="auto"/>
        <w:tabs>
          <w:tab w:leader="none" w:pos="720"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Surety Authorized Signatories</w:t>
      </w:r>
      <w:r>
        <w:rPr>
          <w:rFonts w:ascii="Times New Roman" w:cs="Times New Roman" w:eastAsia="Times New Roman" w:hAnsi="Times New Roman"/>
          <w:sz w:val="24"/>
          <w:szCs w:val="24"/>
          <w:color w:val="auto"/>
        </w:rPr>
        <w:t>. The person now designated as authorized representative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of Surety to sign or countersign checks or approve transfers on behalf of Surety is: Jeffrey Jubera. It is understood and agreed that Surety may substitute or add another representative or representatives, without the prior consent of, but upon notice to, Indemnitors.</w:t>
      </w:r>
    </w:p>
    <w:p>
      <w:pPr>
        <w:spacing w:after="0" w:line="180" w:lineRule="exact"/>
        <w:rPr>
          <w:rFonts w:ascii="Times New Roman" w:cs="Times New Roman" w:eastAsia="Times New Roman" w:hAnsi="Times New Roman"/>
          <w:sz w:val="24"/>
          <w:szCs w:val="24"/>
          <w:color w:val="auto"/>
        </w:rPr>
      </w:pPr>
    </w:p>
    <w:p>
      <w:pPr>
        <w:jc w:val="both"/>
        <w:spacing w:after="0" w:line="246" w:lineRule="auto"/>
        <w:tabs>
          <w:tab w:leader="none" w:pos="720"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Indemnitors’ Authorized Signatories</w:t>
      </w:r>
      <w:r>
        <w:rPr>
          <w:rFonts w:ascii="Times New Roman" w:cs="Times New Roman" w:eastAsia="Times New Roman" w:hAnsi="Times New Roman"/>
          <w:sz w:val="24"/>
          <w:szCs w:val="24"/>
          <w:color w:val="auto"/>
        </w:rPr>
        <w:t>. The persons now designated as authorized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representatives of Indemnitors for purposes of this Agreement, including to execute requests for payment on behalf of Indemnitors and/or Contractors are: Steven Richards, or other representative that the Indemnitors may designate or change with written notice to Surety. It is understood and agreed that Indemnitors Contractors may substitute or add another representative or representatives for the persons originally named, but only with the written approval of Surety and the Indemnitors which shall not be unreasonably withheld.</w:t>
      </w:r>
    </w:p>
    <w:p>
      <w:pPr>
        <w:spacing w:after="0" w:line="191" w:lineRule="exact"/>
        <w:rPr>
          <w:rFonts w:ascii="Times New Roman" w:cs="Times New Roman" w:eastAsia="Times New Roman" w:hAnsi="Times New Roman"/>
          <w:sz w:val="24"/>
          <w:szCs w:val="24"/>
          <w:color w:val="auto"/>
        </w:rPr>
      </w:pPr>
    </w:p>
    <w:p>
      <w:pPr>
        <w:jc w:val="both"/>
        <w:spacing w:after="0" w:line="260" w:lineRule="auto"/>
        <w:tabs>
          <w:tab w:leader="none" w:pos="720" w:val="left"/>
        </w:tabs>
        <w:numPr>
          <w:ilvl w:val="0"/>
          <w:numId w:val="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Monthly Budget</w:t>
      </w:r>
      <w:r>
        <w:rPr>
          <w:rFonts w:ascii="Times New Roman" w:cs="Times New Roman" w:eastAsia="Times New Roman" w:hAnsi="Times New Roman"/>
          <w:sz w:val="24"/>
          <w:szCs w:val="24"/>
          <w:color w:val="auto"/>
        </w:rPr>
        <w:t>. On a monthly basis, Indemnitors shall provide to Surety a budget of</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anticipated revenues from the Contracts, estimated expenses, and any other payments that Indemnitors anticipate will be required or requested from Surety.</w:t>
      </w:r>
    </w:p>
    <w:p>
      <w:pPr>
        <w:spacing w:after="0" w:line="171" w:lineRule="exact"/>
        <w:rPr>
          <w:rFonts w:ascii="Times New Roman" w:cs="Times New Roman" w:eastAsia="Times New Roman" w:hAnsi="Times New Roman"/>
          <w:sz w:val="24"/>
          <w:szCs w:val="24"/>
          <w:color w:val="auto"/>
        </w:rPr>
      </w:pPr>
    </w:p>
    <w:p>
      <w:pPr>
        <w:jc w:val="both"/>
        <w:spacing w:after="0" w:line="263" w:lineRule="auto"/>
        <w:tabs>
          <w:tab w:leader="none" w:pos="720" w:val="left"/>
        </w:tabs>
        <w:numPr>
          <w:ilvl w:val="0"/>
          <w:numId w:val="4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Disputed Claims</w:t>
      </w:r>
      <w:r>
        <w:rPr>
          <w:rFonts w:ascii="Times New Roman" w:cs="Times New Roman" w:eastAsia="Times New Roman" w:hAnsi="Times New Roman"/>
          <w:sz w:val="23"/>
          <w:szCs w:val="23"/>
          <w:color w:val="auto"/>
        </w:rPr>
        <w:t>. In the event that Indemnitors or Contractors dispute any amount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claimed by any subcontractor or supplier, Indemnitors shall so advise Surety and shall provide full and complete written details and documentation for all disputed amounts. In the event that a claim is or has been brought by any subcontractor or supplier against any Bond, Surety shall make its own determination as to whether the claim or any disputed amount should be paid. Indemnitors</w:t>
      </w:r>
    </w:p>
    <w:p>
      <w:pPr>
        <w:sectPr>
          <w:pgSz w:w="12240" w:h="15840" w:orient="portrait"/>
          <w:cols w:equalWidth="0" w:num="1">
            <w:col w:w="9360"/>
          </w:cols>
          <w:pgMar w:left="1440" w:top="1440" w:right="1440" w:bottom="455"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9</w:t>
      </w:r>
    </w:p>
    <w:p>
      <w:pPr>
        <w:sectPr>
          <w:pgSz w:w="12240" w:h="15840" w:orient="portrait"/>
          <w:cols w:equalWidth="0" w:num="1">
            <w:col w:w="9360"/>
          </w:cols>
          <w:pgMar w:left="1440" w:top="1440" w:right="1440" w:bottom="455" w:gutter="0" w:footer="0" w:header="0"/>
          <w:type w:val="continuous"/>
        </w:sectPr>
      </w:pPr>
    </w:p>
    <w:bookmarkStart w:id="111" w:name="page112"/>
    <w:bookmarkEnd w:id="111"/>
    <w:p>
      <w:pPr>
        <w:spacing w:after="0" w:line="278" w:lineRule="auto"/>
        <w:rPr>
          <w:sz w:val="20"/>
          <w:szCs w:val="20"/>
          <w:color w:val="auto"/>
        </w:rPr>
      </w:pPr>
      <w:r>
        <w:rPr>
          <w:rFonts w:ascii="Times New Roman" w:cs="Times New Roman" w:eastAsia="Times New Roman" w:hAnsi="Times New Roman"/>
          <w:sz w:val="24"/>
          <w:szCs w:val="24"/>
          <w:color w:val="auto"/>
        </w:rPr>
        <w:t>and Contractors waive any rights to assert any claim or defense against Surety with respect to any such payment that may be made by Surety.</w:t>
      </w:r>
    </w:p>
    <w:p>
      <w:pPr>
        <w:spacing w:after="0" w:line="149" w:lineRule="exact"/>
        <w:rPr>
          <w:sz w:val="20"/>
          <w:szCs w:val="20"/>
          <w:color w:val="auto"/>
        </w:rPr>
      </w:pPr>
    </w:p>
    <w:p>
      <w:pPr>
        <w:jc w:val="both"/>
        <w:spacing w:after="0" w:line="260" w:lineRule="auto"/>
        <w:tabs>
          <w:tab w:leader="none" w:pos="72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No Liability</w:t>
      </w:r>
      <w:r>
        <w:rPr>
          <w:rFonts w:ascii="Times New Roman" w:cs="Times New Roman" w:eastAsia="Times New Roman" w:hAnsi="Times New Roman"/>
          <w:sz w:val="24"/>
          <w:szCs w:val="24"/>
          <w:color w:val="auto"/>
        </w:rPr>
        <w:t>. Surety and the representative(s) of Surety shall incur no liability to</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Contractors, Indemnitors or to any other person or entity in connection with the due discharge of their duties in compliance with this Agreement.</w:t>
      </w:r>
    </w:p>
    <w:p>
      <w:pPr>
        <w:spacing w:after="0" w:line="170" w:lineRule="exact"/>
        <w:rPr>
          <w:rFonts w:ascii="Times New Roman" w:cs="Times New Roman" w:eastAsia="Times New Roman" w:hAnsi="Times New Roman"/>
          <w:sz w:val="24"/>
          <w:szCs w:val="24"/>
          <w:color w:val="auto"/>
        </w:rPr>
      </w:pPr>
    </w:p>
    <w:p>
      <w:pPr>
        <w:jc w:val="both"/>
        <w:spacing w:after="0" w:line="244" w:lineRule="auto"/>
        <w:tabs>
          <w:tab w:leader="none" w:pos="72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Representations.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All persons and entities defined herein as Indemnitors and/or</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Contractors represent that they do not presently intend to file any proceeding in bankruptcy, or for reorganization, or for readjustment of their debts under the Bankruptcy Code. All of them further acknowledge that any such filing would be a fundamental change in circumstances. All person and entities defined as Indemnitors and/or Contractors further represent that all of their representations and warranties contained in this Agreement are true and correct and complete on and as of the effective date hereof. Indemnitors hereby undertake the duty to notify Surety at the earliest practicable moment of any material change in any representation made in this Agreement or any document or other communication made to Surety. Surety has and will continue to rely upon such information in determining its obligations to third parties under said Bonds.</w:t>
      </w:r>
    </w:p>
    <w:p>
      <w:pPr>
        <w:spacing w:after="0" w:line="194" w:lineRule="exact"/>
        <w:rPr>
          <w:rFonts w:ascii="Times New Roman" w:cs="Times New Roman" w:eastAsia="Times New Roman" w:hAnsi="Times New Roman"/>
          <w:sz w:val="24"/>
          <w:szCs w:val="24"/>
          <w:color w:val="auto"/>
        </w:rPr>
      </w:pPr>
    </w:p>
    <w:p>
      <w:pPr>
        <w:jc w:val="both"/>
        <w:spacing w:after="0" w:line="259" w:lineRule="auto"/>
        <w:tabs>
          <w:tab w:leader="none" w:pos="720" w:val="left"/>
        </w:tabs>
        <w:numPr>
          <w:ilvl w:val="0"/>
          <w:numId w:val="4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Insolvency Proceedings.</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Each of the Indemnitors acknowledges that Surety is providing</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financing under this Agreement in its capacity as a performing Surety to ensure completion of the Bonded Contracts and to discharge Bond obligations. The Indemnitors recognize Surety’s equitable rights in and to contract balances on the Bonded Contracts, and Surety is subrogated to the rights of the Obligees to use the contract balances, whether earned or unearned, and retainages to pay for performance and payment obligations under said bonds. In the event of a filing by or against any Indemnitors or Contractors under the Bankruptcy Code, each of the Indemnitors agree:</w:t>
      </w:r>
    </w:p>
    <w:p>
      <w:pPr>
        <w:spacing w:after="0" w:line="177" w:lineRule="exact"/>
        <w:rPr>
          <w:rFonts w:ascii="Times New Roman" w:cs="Times New Roman" w:eastAsia="Times New Roman" w:hAnsi="Times New Roman"/>
          <w:sz w:val="23"/>
          <w:szCs w:val="23"/>
          <w:color w:val="auto"/>
        </w:rPr>
      </w:pPr>
    </w:p>
    <w:p>
      <w:pPr>
        <w:jc w:val="both"/>
        <w:ind w:firstLine="720"/>
        <w:spacing w:after="0" w:line="249" w:lineRule="auto"/>
        <w:tabs>
          <w:tab w:leader="none" w:pos="1440" w:val="left"/>
        </w:tabs>
        <w:numPr>
          <w:ilvl w:val="1"/>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In the event that any Bonded Contract is not being performed in accordance with its terms, Indemnitors and/or Contractors acknowledge and agree that time would be of the essence to promptly reject such Bonded Contracts pursuant to 11 U.S.C. §365 and consent to relief from the automatic stay under § 362, and any delay in Indemnitors’ or Contractors’ prompt rejection of same will materially increase Surety’s losses.</w:t>
      </w:r>
    </w:p>
    <w:p>
      <w:pPr>
        <w:spacing w:after="0" w:line="188" w:lineRule="exact"/>
        <w:rPr>
          <w:rFonts w:ascii="Times New Roman" w:cs="Times New Roman" w:eastAsia="Times New Roman" w:hAnsi="Times New Roman"/>
          <w:sz w:val="24"/>
          <w:szCs w:val="24"/>
          <w:color w:val="auto"/>
        </w:rPr>
      </w:pPr>
    </w:p>
    <w:p>
      <w:pPr>
        <w:jc w:val="both"/>
        <w:ind w:firstLine="720"/>
        <w:spacing w:after="0" w:line="242" w:lineRule="auto"/>
        <w:tabs>
          <w:tab w:leader="none" w:pos="1440" w:val="left"/>
        </w:tabs>
        <w:numPr>
          <w:ilvl w:val="1"/>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Contractors agree and acknowledge that the Bonded Contract funds or proceeds provided to the Surety and governed by this Agreement are irrevocably segregated, earmarked and set aside solely for the purposes set forth in this Agreement. In any insolvency proceeding of any Indemnitors or Contractors, such funds and proceeds and all other monies deposited with the Surety shall be considered as trust funds for the purposes set forth in this Agreement. Indemnitors further acknowledge and agree, in all respects, to Surety’s existing rights of equitable subrogation in and to the trust funds, and Surety’s rights under the GAI. It is further acknowledged, agreed and memorialized by Indemnitors that the proceeds and other funds deposited with Surety constitute construction funds from the Bonded Contracts subject to a trust fund treatment for the benefit of Surety and all such funds are and shall be ear-marked for the benefit of Surety for completion of the Bonded Contracts. Consistent with the foregoing, Indemnitors and Contractors acknowledge and agree that the proceeds and other funds deposited with Surety are the property of Surety and not any Indemnitors or Contractors, including in any subsequent bankruptcy of Contractors or any Indemnitors, and therefore would not be property of Contractors’ or Indemnitors’ estate pursuant to Section 541 of the Bankruptcy Code.</w:t>
      </w:r>
    </w:p>
    <w:p>
      <w:pPr>
        <w:sectPr>
          <w:pgSz w:w="12240" w:h="15840" w:orient="portrait"/>
          <w:cols w:equalWidth="0" w:num="1">
            <w:col w:w="9360"/>
          </w:cols>
          <w:pgMar w:left="1440" w:top="1416" w:right="1440" w:bottom="455"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10</w:t>
      </w:r>
    </w:p>
    <w:p>
      <w:pPr>
        <w:sectPr>
          <w:pgSz w:w="12240" w:h="15840" w:orient="portrait"/>
          <w:cols w:equalWidth="0" w:num="1">
            <w:col w:w="9360"/>
          </w:cols>
          <w:pgMar w:left="1440" w:top="1416" w:right="1440" w:bottom="455" w:gutter="0" w:footer="0" w:header="0"/>
          <w:type w:val="continuous"/>
        </w:sectPr>
      </w:pPr>
    </w:p>
    <w:bookmarkStart w:id="112" w:name="page113"/>
    <w:bookmarkEnd w:id="112"/>
    <w:p>
      <w:pPr>
        <w:jc w:val="both"/>
        <w:ind w:right="20" w:firstLine="720"/>
        <w:spacing w:after="0" w:line="254" w:lineRule="auto"/>
        <w:tabs>
          <w:tab w:leader="none" w:pos="1440" w:val="left"/>
        </w:tabs>
        <w:numPr>
          <w:ilvl w:val="1"/>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Without waiver of the Surety’s rights under the GAI and under applicable law, including principles of equitable subrogation, to the extent that Bonded Contracts proceeds and/or Contract Proceeds are determined to be property of the estate pursuant to Section 541 of the Bankruptcy Code, Surety’s claim to the proceeds arising from such Bonded Contracts and Contract Proceeds will have priority over all expenses of the kind specified or ordered pursuant to Sections 105, 326, 330, 331, 503(b), 503(c), 507(a), 507(b), 546(c) or 726 of the Bankruptcy Code, and will also have priority over any other priority claims and constitute “cash collateral” under Sections</w:t>
      </w:r>
    </w:p>
    <w:p>
      <w:pPr>
        <w:spacing w:after="0" w:line="6" w:lineRule="exact"/>
        <w:rPr>
          <w:rFonts w:ascii="Times New Roman" w:cs="Times New Roman" w:eastAsia="Times New Roman" w:hAnsi="Times New Roman"/>
          <w:sz w:val="23"/>
          <w:szCs w:val="23"/>
          <w:color w:val="auto"/>
        </w:rPr>
      </w:pPr>
    </w:p>
    <w:p>
      <w:pPr>
        <w:jc w:val="both"/>
        <w:spacing w:after="0" w:line="251" w:lineRule="auto"/>
        <w:tabs>
          <w:tab w:leader="none" w:pos="419" w:val="left"/>
        </w:tabs>
        <w:numPr>
          <w:ilvl w:val="0"/>
          <w:numId w:val="5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and 364 of the Bankruptcy Code. This claim of Surety will at all times be senior to the rights of Contractors, any Indemnitors or any Trustee in any case or proceeding in which Contractors or Indemnitors become or may become a debtor-in-possession under the Bankruptcy Code. Nothing herein shall be deemed to be a consent by Surety that Contractors use, without Surety’s consent, any “cash collateral” within the meaning of Sections 363 and 364 of the Bankruptcy Code, including without limitation the proceeds from the Bonded Contracts and/or the Contract Proceeds. In the event that a court of competent jurisdiction determines that, notwithstanding the foregoing, Contractors may use any such “cash collateral,” then Contractors and Indemnitors stipulate that the “cash collateral” so used will be disbursed first to the payment of necessary and proper direct costs to complete the Projects, but only for such costs for which Surety is or may become liable under the said Bonds, and second to the payment of overhead associated with the Bonded Contracts that is ordinary and necessary, provided, however, a stringent standard will be used when determining what constitutes “ordinary and necessary” overhead. Further, in the event that a court of competent jurisdiction determines that, notwithstanding the foregoing, Contractors may use any such “cash collateral,” then Contractors and Indemnitors stipulate that the Surety shall be entitled to adequate protection under Section 361 of the Bankruptcy Code for the use and/or diminution of its interests in the Bonded Contracts proceeds and/or Contract Proceeds, which such adequate protection shall include but not be limited to, replacement liens pursuant to Section 361 of the Bankruptcy Code on all of the Contractors’ post-petition assets, which replacement liens shall be first and senior in priority to all other interests and liens of every kind, nature and description, whether created consensually, by an order of a court of competent jurisdiction or otherwise, including, without limitation, liens or interests granted in favor of third parties in conjunction with Sections 363, 364 or any other section of the Bankruptcy Code or other applicable law</w:t>
      </w:r>
    </w:p>
    <w:p>
      <w:pPr>
        <w:spacing w:after="0" w:line="187" w:lineRule="exact"/>
        <w:rPr>
          <w:rFonts w:ascii="Times New Roman" w:cs="Times New Roman" w:eastAsia="Times New Roman" w:hAnsi="Times New Roman"/>
          <w:sz w:val="23"/>
          <w:szCs w:val="23"/>
          <w:color w:val="auto"/>
        </w:rPr>
      </w:pPr>
    </w:p>
    <w:p>
      <w:pPr>
        <w:jc w:val="both"/>
        <w:ind w:right="20"/>
        <w:spacing w:after="0" w:line="243" w:lineRule="auto"/>
        <w:tabs>
          <w:tab w:leader="none" w:pos="72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Conditions of Forbearance.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Indemnitors acknowledge and reaffirm the GAI and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recognize that Surety has certain remedies available to it, all as expressly set forth in the GAI and as otherwise permitted by statute, at law or in equity. Among the rights provided for under the GAI are the Surety’s right to be kept fully indemnified and held harmless by Indemnitors from any loss resulting from Surety’s issuance of any Bonds and the right, upon Surety’s demand, to be placed in collateral security by the Indemnitors against anticipated loss, as determined by Surety. Except as provided for in this Agreement, Surety agrees to forbear its right to enforce such indemnity and collateral security rights, by suit or otherwise, against the Indemnitors so long as there is no Instance of Default as defined herein. Contractors and Indemnitors agree that any and all limitations on any action that Surety may bring to enforce its rights arising from or related to the Bonds, the GAI, or the Bonded Contracts, by statute, at law or in equity, are tolled for so long as this Agreement is in effect.</w:t>
      </w:r>
    </w:p>
    <w:p>
      <w:pPr>
        <w:spacing w:after="0" w:line="198" w:lineRule="exact"/>
        <w:rPr>
          <w:rFonts w:ascii="Times New Roman" w:cs="Times New Roman" w:eastAsia="Times New Roman" w:hAnsi="Times New Roman"/>
          <w:sz w:val="24"/>
          <w:szCs w:val="24"/>
          <w:color w:val="auto"/>
        </w:rPr>
      </w:pPr>
    </w:p>
    <w:p>
      <w:pPr>
        <w:ind w:right="20"/>
        <w:spacing w:after="0" w:line="281" w:lineRule="auto"/>
        <w:tabs>
          <w:tab w:leader="none" w:pos="72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Default</w:t>
      </w:r>
      <w:r>
        <w:rPr>
          <w:rFonts w:ascii="Times New Roman" w:cs="Times New Roman" w:eastAsia="Times New Roman" w:hAnsi="Times New Roman"/>
          <w:sz w:val="24"/>
          <w:szCs w:val="24"/>
          <w:color w:val="auto"/>
        </w:rPr>
        <w:t>. Any of the following actions or events shall constitute an “Instance of Default”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under this Agreement:</w:t>
      </w:r>
    </w:p>
    <w:p>
      <w:pPr>
        <w:sectPr>
          <w:pgSz w:w="12240" w:h="15840" w:orient="portrait"/>
          <w:cols w:equalWidth="0" w:num="1">
            <w:col w:w="9380"/>
          </w:cols>
          <w:pgMar w:left="1440" w:top="1416" w:right="1420" w:bottom="455"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11</w:t>
      </w:r>
    </w:p>
    <w:p>
      <w:pPr>
        <w:sectPr>
          <w:pgSz w:w="12240" w:h="15840" w:orient="portrait"/>
          <w:cols w:equalWidth="0" w:num="1">
            <w:col w:w="9380"/>
          </w:cols>
          <w:pgMar w:left="1440" w:top="1416" w:right="1420" w:bottom="455" w:gutter="0" w:footer="0" w:header="0"/>
          <w:type w:val="continuous"/>
        </w:sectPr>
      </w:pPr>
    </w:p>
    <w:bookmarkStart w:id="113" w:name="page114"/>
    <w:bookmarkEnd w:id="113"/>
    <w:p>
      <w:pPr>
        <w:jc w:val="both"/>
        <w:ind w:firstLine="720"/>
        <w:spacing w:after="0" w:line="259"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after the effective date of this Agreement, a breach by any Indemnitors or, of any provision of this Agreement or of the Bonds or GAI, including but not limited to any Event of Default as that term is defined under the GAI;</w:t>
      </w:r>
    </w:p>
    <w:p>
      <w:pPr>
        <w:spacing w:after="0" w:line="174" w:lineRule="exact"/>
        <w:rPr>
          <w:rFonts w:ascii="Times New Roman" w:cs="Times New Roman" w:eastAsia="Times New Roman" w:hAnsi="Times New Roman"/>
          <w:sz w:val="24"/>
          <w:szCs w:val="24"/>
          <w:color w:val="auto"/>
        </w:rPr>
      </w:pPr>
    </w:p>
    <w:p>
      <w:pPr>
        <w:jc w:val="both"/>
        <w:ind w:firstLine="720"/>
        <w:spacing w:after="0" w:line="259"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after the effective date of this Agreement, and upon any funding by the Surety as specifically provided for in this Agreement, there are insufficient funds allocated to a particular Bonded Contract to satisfy obligations that may reasonably affect progress of the work;</w:t>
      </w:r>
    </w:p>
    <w:p>
      <w:pPr>
        <w:spacing w:after="0" w:line="174" w:lineRule="exact"/>
        <w:rPr>
          <w:rFonts w:ascii="Times New Roman" w:cs="Times New Roman" w:eastAsia="Times New Roman" w:hAnsi="Times New Roman"/>
          <w:sz w:val="24"/>
          <w:szCs w:val="24"/>
          <w:color w:val="auto"/>
        </w:rPr>
      </w:pPr>
    </w:p>
    <w:p>
      <w:pPr>
        <w:jc w:val="both"/>
        <w:ind w:firstLine="720"/>
        <w:spacing w:after="0" w:line="275" w:lineRule="auto"/>
        <w:tabs>
          <w:tab w:leader="none" w:pos="1440" w:val="left"/>
        </w:tabs>
        <w:numPr>
          <w:ilvl w:val="0"/>
          <w:numId w:val="5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after the effective date of this Agreement, any Indemnitors or Contractors make an assignment for the benefit of creditors, declare bankruptcy or are declared or adjudicated bankrupt, or are placed in receivership, or otherwise have a trustee, liquidator or receiver appointed for them;</w:t>
      </w:r>
    </w:p>
    <w:p>
      <w:pPr>
        <w:spacing w:after="0" w:line="158" w:lineRule="exact"/>
        <w:rPr>
          <w:rFonts w:ascii="Times New Roman" w:cs="Times New Roman" w:eastAsia="Times New Roman" w:hAnsi="Times New Roman"/>
          <w:sz w:val="23"/>
          <w:szCs w:val="23"/>
          <w:color w:val="auto"/>
        </w:rPr>
      </w:pPr>
    </w:p>
    <w:p>
      <w:pPr>
        <w:jc w:val="both"/>
        <w:ind w:firstLine="720"/>
        <w:spacing w:after="0" w:line="267" w:lineRule="auto"/>
        <w:tabs>
          <w:tab w:leader="none" w:pos="1440" w:val="left"/>
        </w:tabs>
        <w:numPr>
          <w:ilvl w:val="0"/>
          <w:numId w:val="5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after the effective date of this Agreement, any person in any proceeding obtains any judgment against Indemnitors or Contractors that is not satisfied within ten (10) calendar days of entry or otherwise stayed by Indemnitors, which, in the sole discretion of Surety may adversely affect the Collateral or security herein given to Surety for advances made or to be made hereunder;</w:t>
      </w:r>
    </w:p>
    <w:p>
      <w:pPr>
        <w:spacing w:after="0" w:line="166" w:lineRule="exact"/>
        <w:rPr>
          <w:rFonts w:ascii="Times New Roman" w:cs="Times New Roman" w:eastAsia="Times New Roman" w:hAnsi="Times New Roman"/>
          <w:sz w:val="23"/>
          <w:szCs w:val="23"/>
          <w:color w:val="auto"/>
        </w:rPr>
      </w:pPr>
    </w:p>
    <w:p>
      <w:pPr>
        <w:ind w:firstLine="720"/>
        <w:spacing w:after="0" w:line="278"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after the effective date of this Agreement, any proceeding or action that impedes or attempts to capture Bonded Contract funds;</w:t>
      </w:r>
    </w:p>
    <w:p>
      <w:pPr>
        <w:spacing w:after="0" w:line="152" w:lineRule="exact"/>
        <w:rPr>
          <w:rFonts w:ascii="Times New Roman" w:cs="Times New Roman" w:eastAsia="Times New Roman" w:hAnsi="Times New Roman"/>
          <w:sz w:val="24"/>
          <w:szCs w:val="24"/>
          <w:color w:val="auto"/>
        </w:rPr>
      </w:pPr>
    </w:p>
    <w:p>
      <w:pPr>
        <w:ind w:firstLine="720"/>
        <w:spacing w:after="0" w:line="278"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after the effective date of this Agreement, any Obligee on any of the Bonded Contracts declares any of the Contractors in default or in breach of any Bonded Contracts;</w:t>
      </w:r>
    </w:p>
    <w:p>
      <w:pPr>
        <w:spacing w:after="0" w:line="152" w:lineRule="exact"/>
        <w:rPr>
          <w:rFonts w:ascii="Times New Roman" w:cs="Times New Roman" w:eastAsia="Times New Roman" w:hAnsi="Times New Roman"/>
          <w:sz w:val="24"/>
          <w:szCs w:val="24"/>
          <w:color w:val="auto"/>
        </w:rPr>
      </w:pPr>
    </w:p>
    <w:p>
      <w:pPr>
        <w:jc w:val="both"/>
        <w:ind w:firstLine="720"/>
        <w:spacing w:after="0" w:line="259"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after the effective date of this Agreement, circumstances arise in Indemnitors’ or Contractors’ business operations that the Surety reasonably determines threaten the Indemnitors’ or Contractor’s ability to complete their obligations;</w:t>
      </w:r>
    </w:p>
    <w:p>
      <w:pPr>
        <w:spacing w:after="0" w:line="174" w:lineRule="exact"/>
        <w:rPr>
          <w:rFonts w:ascii="Times New Roman" w:cs="Times New Roman" w:eastAsia="Times New Roman" w:hAnsi="Times New Roman"/>
          <w:sz w:val="24"/>
          <w:szCs w:val="24"/>
          <w:color w:val="auto"/>
        </w:rPr>
      </w:pPr>
    </w:p>
    <w:p>
      <w:pPr>
        <w:jc w:val="both"/>
        <w:ind w:firstLine="720"/>
        <w:spacing w:after="0" w:line="252" w:lineRule="auto"/>
        <w:tabs>
          <w:tab w:leader="none" w:pos="150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After the effective date of this Agreement, any of the Indemnitors or Contractors fails or refuses to reasonably cooperate with Surety, its representatives, legal counsel, accountants, or consultants in connection with the performance of Surety’s obligations under said Bonds or the terms of this Agreement or the GAI;</w:t>
      </w:r>
    </w:p>
    <w:p>
      <w:pPr>
        <w:spacing w:after="0" w:line="184" w:lineRule="exact"/>
        <w:rPr>
          <w:rFonts w:ascii="Times New Roman" w:cs="Times New Roman" w:eastAsia="Times New Roman" w:hAnsi="Times New Roman"/>
          <w:sz w:val="24"/>
          <w:szCs w:val="24"/>
          <w:color w:val="auto"/>
        </w:rPr>
      </w:pPr>
    </w:p>
    <w:p>
      <w:pPr>
        <w:jc w:val="both"/>
        <w:ind w:firstLine="720"/>
        <w:spacing w:after="0" w:line="252"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representation or warranty, including financial statements or data, made by Indemnitors or Contractors to Surety, including but not limited to all warranties and representations made herein or provided in connection herewith, proves to have been false in any material respect as of the date or dates to which it may apply;</w:t>
      </w:r>
    </w:p>
    <w:p>
      <w:pPr>
        <w:spacing w:after="0" w:line="184" w:lineRule="exact"/>
        <w:rPr>
          <w:rFonts w:ascii="Times New Roman" w:cs="Times New Roman" w:eastAsia="Times New Roman" w:hAnsi="Times New Roman"/>
          <w:sz w:val="24"/>
          <w:szCs w:val="24"/>
          <w:color w:val="auto"/>
        </w:rPr>
      </w:pPr>
    </w:p>
    <w:p>
      <w:pPr>
        <w:ind w:firstLine="720"/>
        <w:spacing w:after="0" w:line="278"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Surety does not receive by June 30, 2024, a pledge of equity interests of Shimmick Corporation having a fair market value of $25,000,000 as of the date of the grant;</w:t>
      </w:r>
    </w:p>
    <w:p>
      <w:pPr>
        <w:spacing w:after="0" w:line="152" w:lineRule="exact"/>
        <w:rPr>
          <w:rFonts w:ascii="Times New Roman" w:cs="Times New Roman" w:eastAsia="Times New Roman" w:hAnsi="Times New Roman"/>
          <w:sz w:val="24"/>
          <w:szCs w:val="24"/>
          <w:color w:val="auto"/>
        </w:rPr>
      </w:pPr>
    </w:p>
    <w:p>
      <w:pPr>
        <w:ind w:firstLine="720"/>
        <w:spacing w:after="0" w:line="278" w:lineRule="auto"/>
        <w:tabs>
          <w:tab w:leader="none" w:pos="14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Indemnitors or Contractors make payment in violation of the Subordination provisions set forth in Paragraphs 9 and 10 herein.</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3"/>
          <w:szCs w:val="23"/>
          <w:color w:val="auto"/>
        </w:rPr>
        <w:t>Upon the occurrence of any of the foregoing Instances of Default, then Surety, notwithstanding any other provision hereof, shall have the right, at its sole option, to immediately notify Indemnitors and Contractors that Surety declares Contractors and Indemnitors in default hereunder; Surety shall thereupon have the right to exercise any and all rights it has agreed herein to forbear, in addition to all other rights otherwise available under this Agreement, the Bonds, the</w:t>
      </w:r>
    </w:p>
    <w:p>
      <w:pPr>
        <w:sectPr>
          <w:pgSz w:w="12240" w:h="15840" w:orient="portrait"/>
          <w:cols w:equalWidth="0" w:num="1">
            <w:col w:w="9360"/>
          </w:cols>
          <w:pgMar w:left="1440" w:top="1416" w:right="1440" w:bottom="455"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12</w:t>
      </w:r>
    </w:p>
    <w:p>
      <w:pPr>
        <w:sectPr>
          <w:pgSz w:w="12240" w:h="15840" w:orient="portrait"/>
          <w:cols w:equalWidth="0" w:num="1">
            <w:col w:w="9360"/>
          </w:cols>
          <w:pgMar w:left="1440" w:top="1416" w:right="1440" w:bottom="455" w:gutter="0" w:footer="0" w:header="0"/>
          <w:type w:val="continuous"/>
        </w:sectPr>
      </w:pPr>
    </w:p>
    <w:bookmarkStart w:id="114" w:name="page115"/>
    <w:bookmarkEnd w:id="114"/>
    <w:p>
      <w:pPr>
        <w:jc w:val="both"/>
        <w:spacing w:after="0" w:line="246" w:lineRule="auto"/>
        <w:rPr>
          <w:sz w:val="20"/>
          <w:szCs w:val="20"/>
          <w:color w:val="auto"/>
        </w:rPr>
      </w:pPr>
      <w:r>
        <w:rPr>
          <w:rFonts w:ascii="Times New Roman" w:cs="Times New Roman" w:eastAsia="Times New Roman" w:hAnsi="Times New Roman"/>
          <w:sz w:val="24"/>
          <w:szCs w:val="24"/>
          <w:color w:val="auto"/>
        </w:rPr>
        <w:t>GAI and any other agreement or instrument, or by statute, at law or in equity, to satisfy any indebtedness due to the Surety and Surety shall be relieved of and released from any and all obligations otherwise imposed upon Surety by this Agreement. As of the date of such declaration of default by Surety, any Surety obligation to make loans or advances or to make funds available shall cease. Any failure of Surety to exercise any right granted hereunder or under any provision of this Agreement, the GAI, or any agreement with respect to any Collateral, shall not be deemed a waiver of any such right.</w:t>
      </w:r>
    </w:p>
    <w:p>
      <w:pPr>
        <w:spacing w:after="0" w:line="188" w:lineRule="exact"/>
        <w:rPr>
          <w:sz w:val="20"/>
          <w:szCs w:val="20"/>
          <w:color w:val="auto"/>
        </w:rPr>
      </w:pPr>
    </w:p>
    <w:p>
      <w:pPr>
        <w:jc w:val="both"/>
        <w:spacing w:after="0" w:line="254" w:lineRule="auto"/>
        <w:tabs>
          <w:tab w:leader="none" w:pos="720" w:val="left"/>
        </w:tabs>
        <w:numPr>
          <w:ilvl w:val="0"/>
          <w:numId w:val="5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Use and Return of Collateral</w:t>
      </w:r>
      <w:r>
        <w:rPr>
          <w:rFonts w:ascii="Times New Roman" w:cs="Times New Roman" w:eastAsia="Times New Roman" w:hAnsi="Times New Roman"/>
          <w:sz w:val="23"/>
          <w:szCs w:val="23"/>
          <w:color w:val="auto"/>
        </w:rPr>
        <w:t>. Any Collateral given hereunder shall be used to satisfy</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any indebtedness to Surety under the Bonds, the GAI, or this Agreement. When the Payment Event occurs or when Surety shall have been furnished satisfactory evidence of its discharge from all liability under all Bonds executed on behalf of Contractors and/or Indemnitors or any of them and shall have been fully repaid for Losses, including as defined by Paragraph 5 above, then the obligations of Contractors and Indemnitors under this Agreement shall terminate. Contractors will provide reasonable notice to Surety in advance of any potential Payment Event and provide access to Surety to conduct any necessary due diligence or investigation to confirm the amount of Losses and assess if there are any existing or pending Events of Default under the GAI and the impact of those defaults, which the parties will work in good faith to quantify so that adequate consideration can be given to the Surety to account for its exposure. After full repayment of Amounts Owed Surety, Surety shall provide such instruments as may be necessary to discharge the liens, encumbrances and security interests herein granted to it. Nothing contained herein shall operate to terminate, release or diminish the rights of the Surety or the obligations of the Indemnitors under the Bonds or the GAI, which rights and obligations and which GAI, along with any waivers or releases in favor of Surety contained herein, shall survive the termination of this Agreement.</w:t>
      </w:r>
    </w:p>
    <w:p>
      <w:pPr>
        <w:spacing w:after="0" w:line="177" w:lineRule="exact"/>
        <w:rPr>
          <w:rFonts w:ascii="Times New Roman" w:cs="Times New Roman" w:eastAsia="Times New Roman" w:hAnsi="Times New Roman"/>
          <w:sz w:val="23"/>
          <w:szCs w:val="23"/>
          <w:color w:val="auto"/>
        </w:rPr>
      </w:pPr>
    </w:p>
    <w:p>
      <w:pPr>
        <w:jc w:val="both"/>
        <w:spacing w:after="0" w:line="254" w:lineRule="auto"/>
        <w:tabs>
          <w:tab w:leader="none" w:pos="720" w:val="left"/>
        </w:tabs>
        <w:numPr>
          <w:ilvl w:val="0"/>
          <w:numId w:val="5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Inspection of Books, Records and Accounts</w:t>
      </w:r>
      <w:r>
        <w:rPr>
          <w:rFonts w:ascii="Times New Roman" w:cs="Times New Roman" w:eastAsia="Times New Roman" w:hAnsi="Times New Roman"/>
          <w:sz w:val="23"/>
          <w:szCs w:val="23"/>
          <w:color w:val="auto"/>
        </w:rPr>
        <w:t>. Indemnitors and Contractors shall maintain</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accurate books, records and accounts showing clearly, among other things, the itemized receipts and disbursements allocable to each of the Bonded Contracts. Indemnitors and Contractors agree to permit Surety’s employees, consultants and attorneys unrestricted access to their premises, books and records, and the books and records of any affiliated entities and, on notice to Indemnitors (provided Indemnitors and Contractors are not in breach of this Agreement by virtue of any Instance of Default) to meet, correspond and converse with present and former employees of Indemnitors and Contractors, the Obligees on any Bonds or any subcontractor or supplier of Contractors. Indemnitors and Contractors authorize any bank, depository, creditor, Obligee of a Bond, subcontractor, materials supplier or other person, firm or corporation possessing records or having information concerning the financial affairs and operations of any Indemnitor or Contractor to furnish to Surety and its representatives or consultants any such records or information requested by Surety, including but not limited to all records and information regarding Collateral. Without limiting any of the foregoing, Surety is entitled to receive copies of all bank account records of any and all accounts of Contractors and/or Indemnitors, of any kind or nature, including canceled checks, bank statements, deposit slips, debit memos, etc.</w:t>
      </w:r>
    </w:p>
    <w:p>
      <w:pPr>
        <w:spacing w:after="0" w:line="177" w:lineRule="exact"/>
        <w:rPr>
          <w:rFonts w:ascii="Times New Roman" w:cs="Times New Roman" w:eastAsia="Times New Roman" w:hAnsi="Times New Roman"/>
          <w:sz w:val="23"/>
          <w:szCs w:val="23"/>
          <w:color w:val="auto"/>
        </w:rPr>
      </w:pPr>
    </w:p>
    <w:p>
      <w:pPr>
        <w:jc w:val="both"/>
        <w:spacing w:after="0" w:line="263" w:lineRule="auto"/>
        <w:tabs>
          <w:tab w:leader="none" w:pos="720" w:val="left"/>
        </w:tabs>
        <w:numPr>
          <w:ilvl w:val="0"/>
          <w:numId w:val="5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Examination of Project Records and Personnel</w:t>
      </w:r>
      <w:r>
        <w:rPr>
          <w:rFonts w:ascii="Times New Roman" w:cs="Times New Roman" w:eastAsia="Times New Roman" w:hAnsi="Times New Roman"/>
          <w:sz w:val="23"/>
          <w:szCs w:val="23"/>
          <w:color w:val="auto"/>
        </w:rPr>
        <w:t>. Indemnitors and Contractors hereby</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authorize Surety and its representative(s), including attorneys, accountants, consultants or employees, to visit at any time the job site of the Bonded Contracts, to obtain at any time access to all job records and personnel of Contractors to determine the status of the progress on the Bonded Contracts, and to obtain at any time any and all other information and documentation with</w:t>
      </w:r>
    </w:p>
    <w:p>
      <w:pPr>
        <w:sectPr>
          <w:pgSz w:w="12240" w:h="15840" w:orient="portrait"/>
          <w:cols w:equalWidth="0" w:num="1">
            <w:col w:w="9360"/>
          </w:cols>
          <w:pgMar w:left="1440" w:top="1416" w:right="1440" w:bottom="455"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13</w:t>
      </w:r>
    </w:p>
    <w:p>
      <w:pPr>
        <w:sectPr>
          <w:pgSz w:w="12240" w:h="15840" w:orient="portrait"/>
          <w:cols w:equalWidth="0" w:num="1">
            <w:col w:w="9360"/>
          </w:cols>
          <w:pgMar w:left="1440" w:top="1416" w:right="1440" w:bottom="455" w:gutter="0" w:footer="0" w:header="0"/>
          <w:type w:val="continuous"/>
        </w:sectPr>
      </w:pPr>
    </w:p>
    <w:bookmarkStart w:id="115" w:name="page116"/>
    <w:bookmarkEnd w:id="115"/>
    <w:p>
      <w:pPr>
        <w:spacing w:after="0" w:line="278" w:lineRule="auto"/>
        <w:rPr>
          <w:sz w:val="20"/>
          <w:szCs w:val="20"/>
          <w:color w:val="auto"/>
        </w:rPr>
      </w:pPr>
      <w:r>
        <w:rPr>
          <w:rFonts w:ascii="Times New Roman" w:cs="Times New Roman" w:eastAsia="Times New Roman" w:hAnsi="Times New Roman"/>
          <w:sz w:val="24"/>
          <w:szCs w:val="24"/>
          <w:color w:val="auto"/>
        </w:rPr>
        <w:t>respect to the Bonded Contracts and/or any Collateral, deemed necessary in the sole discretion of Surety and/or its representative(s).</w:t>
      </w:r>
    </w:p>
    <w:p>
      <w:pPr>
        <w:spacing w:after="0" w:line="149" w:lineRule="exact"/>
        <w:rPr>
          <w:sz w:val="20"/>
          <w:szCs w:val="20"/>
          <w:color w:val="auto"/>
        </w:rPr>
      </w:pPr>
    </w:p>
    <w:p>
      <w:pPr>
        <w:jc w:val="both"/>
        <w:spacing w:after="0" w:line="260" w:lineRule="auto"/>
        <w:tabs>
          <w:tab w:leader="none" w:pos="72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Cooperation in Future Litigation</w:t>
      </w:r>
      <w:r>
        <w:rPr>
          <w:rFonts w:ascii="Times New Roman" w:cs="Times New Roman" w:eastAsia="Times New Roman" w:hAnsi="Times New Roman"/>
          <w:sz w:val="24"/>
          <w:szCs w:val="24"/>
          <w:color w:val="auto"/>
        </w:rPr>
        <w:t>. Contractors agree to provide their full and complete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cooperation to Surety in any and all future litigation involving the Bonded Contracts and/or the Bonds.</w:t>
      </w:r>
    </w:p>
    <w:p>
      <w:pPr>
        <w:spacing w:after="0" w:line="170" w:lineRule="exact"/>
        <w:rPr>
          <w:rFonts w:ascii="Times New Roman" w:cs="Times New Roman" w:eastAsia="Times New Roman" w:hAnsi="Times New Roman"/>
          <w:sz w:val="24"/>
          <w:szCs w:val="24"/>
          <w:color w:val="auto"/>
        </w:rPr>
      </w:pPr>
    </w:p>
    <w:p>
      <w:pPr>
        <w:jc w:val="both"/>
        <w:spacing w:after="0" w:line="245" w:lineRule="auto"/>
        <w:tabs>
          <w:tab w:leader="none" w:pos="72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Authority to Execute and Perform</w:t>
      </w:r>
      <w:r>
        <w:rPr>
          <w:rFonts w:ascii="Times New Roman" w:cs="Times New Roman" w:eastAsia="Times New Roman" w:hAnsi="Times New Roman"/>
          <w:sz w:val="24"/>
          <w:szCs w:val="24"/>
          <w:color w:val="auto"/>
        </w:rPr>
        <w:t>. Indemnitors, Contractors, and Surety, including all</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of their respective undersigned representatives, hereby represent, covenant and warrant that they have full right, power and authority, uninhibited by contract or otherwise, to execute and perform this Agreement, that Indemnitors, Contractors and Surety have been duly authorized by all proper and necessary corporate action, and that all consents and approvals of stockholders or of any public authority or regulatory body required as a condition to the validity or enforceability of this Agreement have been given. This Agreement shall be binding on their respective heirs, executors, administrators, issue, successors and assigns of each of the parties hereto.</w:t>
      </w:r>
    </w:p>
    <w:p>
      <w:pPr>
        <w:spacing w:after="0" w:line="194" w:lineRule="exact"/>
        <w:rPr>
          <w:rFonts w:ascii="Times New Roman" w:cs="Times New Roman" w:eastAsia="Times New Roman" w:hAnsi="Times New Roman"/>
          <w:sz w:val="24"/>
          <w:szCs w:val="24"/>
          <w:color w:val="auto"/>
        </w:rPr>
      </w:pPr>
    </w:p>
    <w:p>
      <w:pPr>
        <w:jc w:val="both"/>
        <w:spacing w:after="0" w:line="241" w:lineRule="auto"/>
        <w:tabs>
          <w:tab w:leader="none" w:pos="72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No Waiver/Reservation of Rights</w:t>
      </w:r>
      <w:r>
        <w:rPr>
          <w:rFonts w:ascii="Times New Roman" w:cs="Times New Roman" w:eastAsia="Times New Roman" w:hAnsi="Times New Roman"/>
          <w:sz w:val="24"/>
          <w:szCs w:val="24"/>
          <w:color w:val="auto"/>
        </w:rPr>
        <w:t>. It is understood that the execution of this Agreement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shall not change the relationship of principal and surety now existing between Contractors and/or Indemnitors and Surety. The terms and provisions of the GAI and the Bonds shall remain in full force and effect. It is agreed and understood that Surety does not, by virtue of this Agreement, undertake or assume any obligation other than the obligations that Surety has under its Bonds or existing agreements or under law or which it expressly assumes by the terms of this Agreement. It is further understood and agreed that this Agreement shall not operate or be construed as a waiver, abrogation, limitation or relinquishment of any rights that Surety may have or may have acquired with respect to the GAI and/or any of the Bonds issued by Surety with respect to which Contractors and/or Indemnitors are a principal or which were otherwise issued at the request of Contractors and/or Indemnitors, and nothing contained in this Agreement shall in any way prejudice or waive the legal and equitable rights of subrogation of Surety. It is further understood and agreed that all rights and remedies provided herein for Surety shall be in addition to, and not in derogation of or substitution for, the rights and remedies which would otherwise be vested in Surety under or by virtue of law, and this Agreement shall be construed only to enhance, and not to diminish, the rights of Surety with respect to any Bonds, the GAI, any and all Collateral and this Agreement. Each right, remedy, and power of Surety provided in this Agreement, or by law, equity, or statute will be cumulative, and the exercise by Surety of any right, remedy, or power will not preclude Surety’s simultaneous or subsequent exercise of any or all other rights, powers, or remedies. The Surety may delay or refrain from exercising any past, present or future right or remedy hereunder without waiving any such right or remedy, and no delay or failure on the part of Surety to take advantage of any of the provisions of this Agreement shall in any way waive, limit, vary or discharge any of the obligations of Contractors and Indemnitors under this Agreement, the Bonds or the GAI. All rights of Surety pursuant to the GAI and this Agreement shall inure to the benefit of Surety, its co-sureties, if any, and its and their reinsurers.</w:t>
      </w:r>
    </w:p>
    <w:p>
      <w:pPr>
        <w:spacing w:after="0" w:line="210" w:lineRule="exact"/>
        <w:rPr>
          <w:rFonts w:ascii="Times New Roman" w:cs="Times New Roman" w:eastAsia="Times New Roman" w:hAnsi="Times New Roman"/>
          <w:sz w:val="24"/>
          <w:szCs w:val="24"/>
          <w:color w:val="auto"/>
        </w:rPr>
      </w:pPr>
    </w:p>
    <w:p>
      <w:pPr>
        <w:jc w:val="both"/>
        <w:spacing w:after="0" w:line="250" w:lineRule="auto"/>
        <w:tabs>
          <w:tab w:leader="none" w:pos="72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No Obligation to Fund.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INDEMNITORS AND CONTRACTORS HEREBY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ACKNOWLEDGE AND AGREE THAT SURETY HAS NO OBLIGATION TO PROVIDE FINANCIAL ASSISTANCE TO INDEMNITORS OR CONTRACTORS OR ANY OTHER ENTITY IN ANY MANNER OR METHOD, OR MAKE ANY PAYMENTS OTHER THAN THOSE PAYMENTS THAT SURETY HAS SPECIFICALLY AGREED TO MAKE</w:t>
      </w:r>
    </w:p>
    <w:p>
      <w:pPr>
        <w:sectPr>
          <w:pgSz w:w="12240" w:h="15840" w:orient="portrait"/>
          <w:cols w:equalWidth="0" w:num="1">
            <w:col w:w="9360"/>
          </w:cols>
          <w:pgMar w:left="1440" w:top="1416" w:right="1440" w:bottom="455"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14</w:t>
      </w:r>
    </w:p>
    <w:p>
      <w:pPr>
        <w:sectPr>
          <w:pgSz w:w="12240" w:h="15840" w:orient="portrait"/>
          <w:cols w:equalWidth="0" w:num="1">
            <w:col w:w="9360"/>
          </w:cols>
          <w:pgMar w:left="1440" w:top="1416" w:right="1440" w:bottom="455" w:gutter="0" w:footer="0" w:header="0"/>
          <w:type w:val="continuous"/>
        </w:sectPr>
      </w:pPr>
    </w:p>
    <w:bookmarkStart w:id="116" w:name="page117"/>
    <w:bookmarkEnd w:id="116"/>
    <w:p>
      <w:pPr>
        <w:jc w:val="both"/>
        <w:spacing w:after="0" w:line="242" w:lineRule="auto"/>
        <w:rPr>
          <w:sz w:val="20"/>
          <w:szCs w:val="20"/>
          <w:color w:val="auto"/>
        </w:rPr>
      </w:pPr>
      <w:r>
        <w:rPr>
          <w:rFonts w:ascii="Times New Roman" w:cs="Times New Roman" w:eastAsia="Times New Roman" w:hAnsi="Times New Roman"/>
          <w:sz w:val="24"/>
          <w:szCs w:val="24"/>
          <w:color w:val="auto"/>
        </w:rPr>
        <w:t>PURSUANT TO THE TERMS OF THIS AGREEMENT. INDEMNITORS SPECIFICALLY ACKNOWLEDGE AND AGREE THAT THEIR EXECUTION OF THIS AGREEMENT HAS NOT BEEN INDUCED BY OR MADE IN RELIANCE UPON ANY ORAL OR WRITTEN REPRESENTATIONS BY SURETY OR ITS AGENTS, EMPLOYEES, ATTORNEYS OR CONSULTANTS THAT SURETY WILL PROVIDE ANY FINANCIAL ASSISTANCE TO INDEMNITORS OR CONTRACTORS OTHER THAN AS EXPRESSLY PROVIDED FOR HEREIN. IN THE EVENT THAT SURETY AGREES TO PROVIDE ADDITIONAL FINANCIAL ASSISTANCE TO INDEMNITORS OR CONTRACTORS IN ANY MANNER OR METHOD, OR MAKE ANY PAYMENTS OTHER THAN THOSE PAYMENTS THAT SURETY HAS SPECIFICALLY AGREED TO MAKE PURSUANT TO THE TERMS OF THIS AGREEMENT, SAID ACTION SHALL BE IN THE SOLE JUDGMENT, OPTION AND DISCRETION OF SURETY AND IN THE BEST INTERESTS OF SURETY AND NOT OF CONTRACTORS OR INDEMNITORS. FURTHERMORE, SURETY’S AGREEMENT TO TAKE ANY SUCH ACTION DOES NOT BIND OR COMMIT SURETY TO ANY OTHER FUNDING OR PROVIDING OF FINANCIAL ASSISTANCE, OR MAKING OF ANY PAYMENTS OTHER THAN THOSE PAYMENTS THAT SURETY HAS SPECIFICALLY AGREED TO MAKE PURSUANT TO THE TERMS OF THIS AGREEMENT.</w:t>
      </w:r>
    </w:p>
    <w:p>
      <w:pPr>
        <w:spacing w:after="0" w:line="197" w:lineRule="exact"/>
        <w:rPr>
          <w:sz w:val="20"/>
          <w:szCs w:val="20"/>
          <w:color w:val="auto"/>
        </w:rPr>
      </w:pPr>
    </w:p>
    <w:p>
      <w:pPr>
        <w:jc w:val="both"/>
        <w:spacing w:after="0" w:line="241" w:lineRule="auto"/>
        <w:tabs>
          <w:tab w:leader="none" w:pos="72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No Obligation to Bond</w:t>
      </w:r>
      <w:r>
        <w:rPr>
          <w:rFonts w:ascii="Times New Roman" w:cs="Times New Roman" w:eastAsia="Times New Roman" w:hAnsi="Times New Roman"/>
          <w:sz w:val="24"/>
          <w:szCs w:val="24"/>
          <w:color w:val="auto"/>
        </w:rPr>
        <w:t>. CONTRACTORS AND INDEMNITORS UNDERSTAND,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ACKNOWLEDGE AND AGREE THAT NEITHER SURETY NOR ANY OF ITS AFFILIATES HAS COMMITTED, PROMISED OR UNDERTAKEN IN ANY WAY, BY THIS AGREEMENT OR OTHERWISE, TO ISSUE ANY NEW OR ADDITIONAL BONDS ON BEHALF OF CONTRACTORS OR INDEMNITORS. FURTHER, THE EXECUTION OF THIS AGREEMENT BY SURETY IN NO MANNER BINDS SURETY TO EXECUTE ANY FUTURE BOND OR BONDS ON BEHALF OF INDEMNITORS OR CONTRACTORS. INDEMNITORS SPECIFICALLY ACKNOWLEDGE AND AGREE THAT THEIR EXECUTION OF THIS AGREEMENT HAS NOT BEEN INDUCED BY OR MADE IN RELIANCE UPON ANY ORAL OR WRITTEN REPRESENTATIONS BY SURETY OR ITS AGENTS, EMPLOYEES, ATTORNEYS OR CONSULTANTS THAT SURETY WILL EXECUTE ANY FUTURE BOND OR BONDS ON BEHALF OF CONTRACTORS ANY INDEMNITORS OR ANY OTHER ENTITY. IN THE EVENT THAT SURETY EXECUTES ANY FUTURE BOND OR BONDS ON BEHALF OF CONTRACTORS OR INDEMNITORS, ANY SUCH BOND AND THE UNDERLYING CONTRACT SHALL BE DEEMED INCLUDED IN THE LIST OF CONTRACTS AND BONDS ATTACHED HERETO AS EXHIBIT 2 AND SHALL BE SUBJECT TO THE TERMS AND PROVISIONS OF THIS AGREEMENT. THE EXECUTION OF BONDS BY SURETY FOR CONTRACTORS WHILE THIS AGREEMENT IS IN EFFECT SHALL BE IN THE SOLE JUDGMENT, OPTION AND DISCRETION OF SURETY, PURSUANT TO ITS UNDERWRITING POLICIES AND PROCEDURES, AND SHALL BE IN THE BEST INTERESTS OF SURETY AND NOT OF CONTRACTORS OR INDEMNITORS. THE AGREEMENT BY SURETY TO EXECUTE ANY ONE BOND IN ACCORDANCE WITH THIS PARAGRAPH DOES NOT BIND AND COMMIT SURETY TO EXECUTE ANY OTHER BOND OR BONDS AT THE REQUEST OF CONTRACTORS OR INDEMNITORS.</w:t>
      </w:r>
    </w:p>
    <w:p>
      <w:pPr>
        <w:spacing w:after="0" w:line="210" w:lineRule="exact"/>
        <w:rPr>
          <w:rFonts w:ascii="Times New Roman" w:cs="Times New Roman" w:eastAsia="Times New Roman" w:hAnsi="Times New Roman"/>
          <w:sz w:val="24"/>
          <w:szCs w:val="24"/>
          <w:color w:val="auto"/>
        </w:rPr>
      </w:pPr>
    </w:p>
    <w:p>
      <w:pPr>
        <w:jc w:val="both"/>
        <w:spacing w:after="0" w:line="282" w:lineRule="auto"/>
        <w:tabs>
          <w:tab w:leader="none" w:pos="72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No Third-Party Beneficiaries</w:t>
      </w:r>
      <w:r>
        <w:rPr>
          <w:rFonts w:ascii="Times New Roman" w:cs="Times New Roman" w:eastAsia="Times New Roman" w:hAnsi="Times New Roman"/>
          <w:sz w:val="24"/>
          <w:szCs w:val="24"/>
          <w:color w:val="auto"/>
        </w:rPr>
        <w:t>. It is further agreed that this Agreement is solely for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benefit of the parties hereto and shall not create any rights in any person not a party hereto, or in</w:t>
      </w:r>
    </w:p>
    <w:p>
      <w:pPr>
        <w:sectPr>
          <w:pgSz w:w="12240" w:h="15840" w:orient="portrait"/>
          <w:cols w:equalWidth="0" w:num="1">
            <w:col w:w="9360"/>
          </w:cols>
          <w:pgMar w:left="1440" w:top="1416" w:right="1440" w:bottom="455"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15</w:t>
      </w:r>
    </w:p>
    <w:p>
      <w:pPr>
        <w:sectPr>
          <w:pgSz w:w="12240" w:h="15840" w:orient="portrait"/>
          <w:cols w:equalWidth="0" w:num="1">
            <w:col w:w="9360"/>
          </w:cols>
          <w:pgMar w:left="1440" w:top="1416" w:right="1440" w:bottom="455" w:gutter="0" w:footer="0" w:header="0"/>
          <w:type w:val="continuous"/>
        </w:sectPr>
      </w:pPr>
    </w:p>
    <w:bookmarkStart w:id="117" w:name="page118"/>
    <w:bookmarkEnd w:id="117"/>
    <w:p>
      <w:pPr>
        <w:spacing w:after="0" w:line="278" w:lineRule="auto"/>
        <w:rPr>
          <w:sz w:val="20"/>
          <w:szCs w:val="20"/>
          <w:color w:val="auto"/>
        </w:rPr>
      </w:pPr>
      <w:r>
        <w:rPr>
          <w:rFonts w:ascii="Times New Roman" w:cs="Times New Roman" w:eastAsia="Times New Roman" w:hAnsi="Times New Roman"/>
          <w:sz w:val="24"/>
          <w:szCs w:val="24"/>
          <w:color w:val="auto"/>
        </w:rPr>
        <w:t>any way increase the rights of third persons, or increase the obligations of any party hereto to any third person, or increase the liability or obligations of Surety under its Bonds.</w:t>
      </w:r>
    </w:p>
    <w:p>
      <w:pPr>
        <w:spacing w:after="0" w:line="149" w:lineRule="exact"/>
        <w:rPr>
          <w:sz w:val="20"/>
          <w:szCs w:val="20"/>
          <w:color w:val="auto"/>
        </w:rPr>
      </w:pPr>
    </w:p>
    <w:p>
      <w:pPr>
        <w:jc w:val="both"/>
        <w:spacing w:after="0" w:line="244" w:lineRule="auto"/>
        <w:tabs>
          <w:tab w:leader="none" w:pos="72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Release</w:t>
      </w:r>
      <w:r>
        <w:rPr>
          <w:rFonts w:ascii="Times New Roman" w:cs="Times New Roman" w:eastAsia="Times New Roman" w:hAnsi="Times New Roman"/>
          <w:sz w:val="24"/>
          <w:szCs w:val="24"/>
          <w:color w:val="auto"/>
        </w:rPr>
        <w:t>. Indemnitors and Contractors, for themselves, their heirs, successors, executors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and assigns do hereby waive and forever relinquish, and they do hereby release Surety, its parents, affiliates and subsidiary companies, their officers, directors and employees, its agents and any professionals employed by it in connection with any of the matters set forth herein, or with respect to the GAI or any of the Bonds, from any and all claims and causes of action that they have or may ever have, whether known or unknown, including but not limited to, claims of fraud, fraud in the inducement, extortion, tortious or contractual interference, domination, lender liability or the like, or any breach of any alleged obligation of Surety, its parents, affiliates and subsidiary companies to issue bonds on behalf of or to otherwise act toward or for the benefit of Contractors or Indemnitors.</w:t>
      </w:r>
    </w:p>
    <w:p>
      <w:pPr>
        <w:spacing w:after="0" w:line="193" w:lineRule="exact"/>
        <w:rPr>
          <w:rFonts w:ascii="Times New Roman" w:cs="Times New Roman" w:eastAsia="Times New Roman" w:hAnsi="Times New Roman"/>
          <w:sz w:val="24"/>
          <w:szCs w:val="24"/>
          <w:color w:val="auto"/>
        </w:rPr>
      </w:pPr>
    </w:p>
    <w:p>
      <w:pPr>
        <w:jc w:val="both"/>
        <w:spacing w:after="0" w:line="244" w:lineRule="auto"/>
        <w:tabs>
          <w:tab w:leader="none" w:pos="72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Represented by Counsel</w:t>
      </w:r>
      <w:r>
        <w:rPr>
          <w:rFonts w:ascii="Times New Roman" w:cs="Times New Roman" w:eastAsia="Times New Roman" w:hAnsi="Times New Roman"/>
          <w:sz w:val="24"/>
          <w:szCs w:val="24"/>
          <w:color w:val="auto"/>
        </w:rPr>
        <w:t>. Indemnitors and Contractors acknowledge that they have been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represented by counsel with respect to the matters herein contained and all matters referred to herein, and further that they waive the provisions of any truth in lending or borrowing, plain language, consumer protection or similar statute with respect to this Agreement, the GAI, the mortgages given in connection with this Agreement and any other documents or instrument executed by them or any of them on behalf of Surety or in fulfillment of their obligations hereunder. Should any provision of this agreement or the GAI be subject to interpretation or construction by a court or other tribunal, it is agreed by the parties hereto that the court or other tribunal shall not apply a presumption that such agreement is a contract of adhesion or that any provision thereof shall be construed against the drafting party.</w:t>
      </w:r>
    </w:p>
    <w:p>
      <w:pPr>
        <w:spacing w:after="0" w:line="193" w:lineRule="exact"/>
        <w:rPr>
          <w:rFonts w:ascii="Times New Roman" w:cs="Times New Roman" w:eastAsia="Times New Roman" w:hAnsi="Times New Roman"/>
          <w:sz w:val="24"/>
          <w:szCs w:val="24"/>
          <w:color w:val="auto"/>
        </w:rPr>
      </w:pPr>
    </w:p>
    <w:p>
      <w:pPr>
        <w:jc w:val="both"/>
        <w:spacing w:after="0" w:line="260" w:lineRule="auto"/>
        <w:tabs>
          <w:tab w:leader="none" w:pos="72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Choice of Law</w:t>
      </w:r>
      <w:r>
        <w:rPr>
          <w:rFonts w:ascii="Times New Roman" w:cs="Times New Roman" w:eastAsia="Times New Roman" w:hAnsi="Times New Roman"/>
          <w:sz w:val="24"/>
          <w:szCs w:val="24"/>
          <w:color w:val="auto"/>
        </w:rPr>
        <w:t>. This Agreement shall be construed and governed by the laws of State of</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New York, exclusive of its conflict of law rules, and shall bind the heirs, personal representatives, assignees and successors in interest of the parties hereto.</w:t>
      </w:r>
    </w:p>
    <w:p>
      <w:pPr>
        <w:spacing w:after="0" w:line="171" w:lineRule="exact"/>
        <w:rPr>
          <w:rFonts w:ascii="Times New Roman" w:cs="Times New Roman" w:eastAsia="Times New Roman" w:hAnsi="Times New Roman"/>
          <w:sz w:val="24"/>
          <w:szCs w:val="24"/>
          <w:color w:val="auto"/>
        </w:rPr>
      </w:pPr>
    </w:p>
    <w:p>
      <w:pPr>
        <w:jc w:val="both"/>
        <w:spacing w:after="0" w:line="246" w:lineRule="auto"/>
        <w:tabs>
          <w:tab w:leader="none" w:pos="72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Choice of Forum</w:t>
      </w:r>
      <w:r>
        <w:rPr>
          <w:rFonts w:ascii="Times New Roman" w:cs="Times New Roman" w:eastAsia="Times New Roman" w:hAnsi="Times New Roman"/>
          <w:sz w:val="24"/>
          <w:szCs w:val="24"/>
          <w:color w:val="auto"/>
        </w:rPr>
        <w:t>. In the event of any dispute arising as to this Agreement or in connection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with the GAI or any Collateral, all parties hereto irrevocably submit and waive any objection to the jurisdiction of the federal courts, or if such courts do not have federal jurisdiction then the state courts, located in the State of New York, and waive any claim or defense in any such action or proceeding based on any alleged lack of personal jurisdiction, improper venue, </w:t>
      </w:r>
      <w:r>
        <w:rPr>
          <w:rFonts w:ascii="Times New Roman" w:cs="Times New Roman" w:eastAsia="Times New Roman" w:hAnsi="Times New Roman"/>
          <w:sz w:val="24"/>
          <w:szCs w:val="24"/>
          <w:i w:val="1"/>
          <w:iCs w:val="1"/>
          <w:color w:val="auto"/>
        </w:rPr>
        <w:t>forum non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 xml:space="preserve">conveniens </w:t>
      </w:r>
      <w:r>
        <w:rPr>
          <w:rFonts w:ascii="Times New Roman" w:cs="Times New Roman" w:eastAsia="Times New Roman" w:hAnsi="Times New Roman"/>
          <w:sz w:val="24"/>
          <w:szCs w:val="24"/>
          <w:color w:val="auto"/>
        </w:rPr>
        <w:t>or any similar basis. Contractors and Indemnitors further waive personal service or</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any and all process.</w:t>
      </w:r>
    </w:p>
    <w:p>
      <w:pPr>
        <w:spacing w:after="0" w:line="191" w:lineRule="exact"/>
        <w:rPr>
          <w:rFonts w:ascii="Times New Roman" w:cs="Times New Roman" w:eastAsia="Times New Roman" w:hAnsi="Times New Roman"/>
          <w:sz w:val="24"/>
          <w:szCs w:val="24"/>
          <w:color w:val="auto"/>
        </w:rPr>
      </w:pPr>
    </w:p>
    <w:p>
      <w:pPr>
        <w:jc w:val="both"/>
        <w:spacing w:after="0" w:line="245" w:lineRule="auto"/>
        <w:tabs>
          <w:tab w:leader="none" w:pos="72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Merger and Modifications</w:t>
      </w:r>
      <w:r>
        <w:rPr>
          <w:rFonts w:ascii="Times New Roman" w:cs="Times New Roman" w:eastAsia="Times New Roman" w:hAnsi="Times New Roman"/>
          <w:sz w:val="24"/>
          <w:szCs w:val="24"/>
          <w:color w:val="auto"/>
        </w:rPr>
        <w:t>. It is agreed and understood by Contractors, Indemnitors and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Surety that there have been no oral or other agreements of any kind whatsoever as a condition precedent or to induce the execution and delivery of this Agreement by any party hereto. It is further agreed and understood that this Agreement (including all Exhibits referenced herein and attached hereto) constitutes the entire Agreement between the parties with respect to those items expressly addressed herein. It is further agreed and understood that no change, addition, amendment or modification shall be made herein or to any of the terms, covenants or conditions hereto without the express written consent of Surety, executed by one of the authorized representatives of Surety named herein.</w:t>
      </w:r>
    </w:p>
    <w:p>
      <w:pPr>
        <w:sectPr>
          <w:pgSz w:w="12240" w:h="15840" w:orient="portrait"/>
          <w:cols w:equalWidth="0" w:num="1">
            <w:col w:w="9360"/>
          </w:cols>
          <w:pgMar w:left="1440" w:top="1416" w:right="1440" w:bottom="455"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16</w:t>
      </w:r>
    </w:p>
    <w:p>
      <w:pPr>
        <w:sectPr>
          <w:pgSz w:w="12240" w:h="15840" w:orient="portrait"/>
          <w:cols w:equalWidth="0" w:num="1">
            <w:col w:w="9360"/>
          </w:cols>
          <w:pgMar w:left="1440" w:top="1416" w:right="1440" w:bottom="455" w:gutter="0" w:footer="0" w:header="0"/>
          <w:type w:val="continuous"/>
        </w:sectPr>
      </w:pPr>
    </w:p>
    <w:bookmarkStart w:id="118" w:name="page119"/>
    <w:bookmarkEnd w:id="118"/>
    <w:p>
      <w:pPr>
        <w:jc w:val="both"/>
        <w:spacing w:after="0" w:line="250" w:lineRule="auto"/>
        <w:tabs>
          <w:tab w:leader="none" w:pos="720"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Partial Enforceability</w:t>
      </w:r>
      <w:r>
        <w:rPr>
          <w:rFonts w:ascii="Times New Roman" w:cs="Times New Roman" w:eastAsia="Times New Roman" w:hAnsi="Times New Roman"/>
          <w:sz w:val="24"/>
          <w:szCs w:val="24"/>
          <w:color w:val="auto"/>
        </w:rPr>
        <w:t>. In the event that one or more provisions of this Agreement shall</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be declared to be invalid, illegal or unenforceable in any respect, unless such invalidity, illegality or unenforceability shall be tantamount to a failure of consideration, the validity, legality and enforceability of the remaining provisions contained in this Agreement shall not in any way be affected or impaired thereby.</w:t>
      </w:r>
    </w:p>
    <w:p>
      <w:pPr>
        <w:spacing w:after="0" w:line="182" w:lineRule="exact"/>
        <w:rPr>
          <w:rFonts w:ascii="Times New Roman" w:cs="Times New Roman" w:eastAsia="Times New Roman" w:hAnsi="Times New Roman"/>
          <w:sz w:val="24"/>
          <w:szCs w:val="24"/>
          <w:color w:val="auto"/>
        </w:rPr>
      </w:pPr>
    </w:p>
    <w:p>
      <w:pPr>
        <w:jc w:val="both"/>
        <w:spacing w:after="0" w:line="253" w:lineRule="auto"/>
        <w:tabs>
          <w:tab w:leader="none" w:pos="720"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Authorized Signatories</w:t>
      </w:r>
      <w:r>
        <w:rPr>
          <w:rFonts w:ascii="Times New Roman" w:cs="Times New Roman" w:eastAsia="Times New Roman" w:hAnsi="Times New Roman"/>
          <w:sz w:val="24"/>
          <w:szCs w:val="24"/>
          <w:color w:val="auto"/>
        </w:rPr>
        <w:t>. Except as otherwise specifically provided herein, or as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specifically and subsequently agreed to by the parties in writing, all notices, requests or other communications required or permitted to be given hereunder shall be deemed duly given if mailed by the United States mail, postage prepaid and addressed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As to Surety: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Jeffrey Jubera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VP – Global Surety Claims</w:t>
      </w:r>
    </w:p>
    <w:p>
      <w:pPr>
        <w:spacing w:after="0"/>
        <w:rPr>
          <w:sz w:val="20"/>
          <w:szCs w:val="20"/>
          <w:color w:val="auto"/>
        </w:rPr>
      </w:pPr>
      <w:r>
        <w:rPr>
          <w:rFonts w:ascii="Times New Roman" w:cs="Times New Roman" w:eastAsia="Times New Roman" w:hAnsi="Times New Roman"/>
          <w:sz w:val="24"/>
          <w:szCs w:val="24"/>
          <w:color w:val="auto"/>
        </w:rPr>
        <w:t>Berkshire Hathaway Specialty Insurance</w:t>
      </w:r>
    </w:p>
    <w:p>
      <w:pPr>
        <w:spacing w:after="0"/>
        <w:rPr>
          <w:sz w:val="20"/>
          <w:szCs w:val="20"/>
          <w:color w:val="auto"/>
        </w:rPr>
      </w:pPr>
      <w:r>
        <w:rPr>
          <w:rFonts w:ascii="Times New Roman" w:cs="Times New Roman" w:eastAsia="Times New Roman" w:hAnsi="Times New Roman"/>
          <w:sz w:val="24"/>
          <w:szCs w:val="24"/>
          <w:color w:val="auto"/>
        </w:rPr>
        <w:t>1314 Douglas Street, Suite 1300</w:t>
      </w:r>
    </w:p>
    <w:p>
      <w:pPr>
        <w:spacing w:after="0"/>
        <w:rPr>
          <w:sz w:val="20"/>
          <w:szCs w:val="20"/>
          <w:color w:val="auto"/>
        </w:rPr>
      </w:pPr>
      <w:r>
        <w:rPr>
          <w:rFonts w:ascii="Times New Roman" w:cs="Times New Roman" w:eastAsia="Times New Roman" w:hAnsi="Times New Roman"/>
          <w:sz w:val="24"/>
          <w:szCs w:val="24"/>
          <w:color w:val="auto"/>
        </w:rPr>
        <w:t>Omaha, NE 68102 - 1944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With a copy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Vivian Katsantonis, Esq.</w:t>
      </w:r>
    </w:p>
    <w:p>
      <w:pPr>
        <w:spacing w:after="0"/>
        <w:rPr>
          <w:sz w:val="20"/>
          <w:szCs w:val="20"/>
          <w:color w:val="auto"/>
        </w:rPr>
      </w:pPr>
      <w:r>
        <w:rPr>
          <w:rFonts w:ascii="Times New Roman" w:cs="Times New Roman" w:eastAsia="Times New Roman" w:hAnsi="Times New Roman"/>
          <w:sz w:val="24"/>
          <w:szCs w:val="24"/>
          <w:color w:val="auto"/>
        </w:rPr>
        <w:t>Watt, Tieder, Hoffar &amp; Fitzgerald, L.L.P.</w:t>
      </w:r>
    </w:p>
    <w:p>
      <w:pPr>
        <w:spacing w:after="0"/>
        <w:rPr>
          <w:sz w:val="20"/>
          <w:szCs w:val="20"/>
          <w:color w:val="auto"/>
        </w:rPr>
      </w:pPr>
      <w:r>
        <w:rPr>
          <w:rFonts w:ascii="Times New Roman" w:cs="Times New Roman" w:eastAsia="Times New Roman" w:hAnsi="Times New Roman"/>
          <w:sz w:val="24"/>
          <w:szCs w:val="24"/>
          <w:color w:val="auto"/>
        </w:rPr>
        <w:t>8405 Greensboro Drive, Suite 100</w:t>
      </w:r>
    </w:p>
    <w:p>
      <w:pPr>
        <w:spacing w:after="0"/>
        <w:rPr>
          <w:sz w:val="20"/>
          <w:szCs w:val="20"/>
          <w:color w:val="auto"/>
        </w:rPr>
      </w:pPr>
      <w:r>
        <w:rPr>
          <w:rFonts w:ascii="Times New Roman" w:cs="Times New Roman" w:eastAsia="Times New Roman" w:hAnsi="Times New Roman"/>
          <w:sz w:val="24"/>
          <w:szCs w:val="24"/>
          <w:color w:val="auto"/>
        </w:rPr>
        <w:t>McLean, Virginia 22182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As to Indemnitors: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 Shimmick Corporation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530 Technology Drive, Suite 300</w:t>
      </w:r>
    </w:p>
    <w:p>
      <w:pPr>
        <w:spacing w:after="0"/>
        <w:rPr>
          <w:sz w:val="20"/>
          <w:szCs w:val="20"/>
          <w:color w:val="auto"/>
        </w:rPr>
      </w:pPr>
      <w:r>
        <w:rPr>
          <w:rFonts w:ascii="Times New Roman" w:cs="Times New Roman" w:eastAsia="Times New Roman" w:hAnsi="Times New Roman"/>
          <w:sz w:val="24"/>
          <w:szCs w:val="24"/>
          <w:color w:val="auto"/>
        </w:rPr>
        <w:t>Irvine, California 92618</w:t>
      </w:r>
    </w:p>
    <w:p>
      <w:pPr>
        <w:spacing w:after="0"/>
        <w:rPr>
          <w:sz w:val="20"/>
          <w:szCs w:val="20"/>
          <w:color w:val="auto"/>
        </w:rPr>
      </w:pPr>
      <w:r>
        <w:rPr>
          <w:rFonts w:ascii="Times New Roman" w:cs="Times New Roman" w:eastAsia="Times New Roman" w:hAnsi="Times New Roman"/>
          <w:sz w:val="24"/>
          <w:szCs w:val="24"/>
          <w:color w:val="auto"/>
        </w:rPr>
        <w:t>Attention: Steven E. Richards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With a copy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Alan Noskow, Esq.</w:t>
      </w:r>
    </w:p>
    <w:p>
      <w:pPr>
        <w:spacing w:after="0"/>
        <w:rPr>
          <w:sz w:val="20"/>
          <w:szCs w:val="20"/>
          <w:color w:val="auto"/>
        </w:rPr>
      </w:pPr>
      <w:r>
        <w:rPr>
          <w:rFonts w:ascii="Times New Roman" w:cs="Times New Roman" w:eastAsia="Times New Roman" w:hAnsi="Times New Roman"/>
          <w:sz w:val="24"/>
          <w:szCs w:val="24"/>
          <w:color w:val="auto"/>
        </w:rPr>
        <w:t>King &amp; Spalding LLP</w:t>
      </w:r>
    </w:p>
    <w:p>
      <w:pPr>
        <w:spacing w:after="0"/>
        <w:rPr>
          <w:sz w:val="20"/>
          <w:szCs w:val="20"/>
          <w:color w:val="auto"/>
        </w:rPr>
      </w:pPr>
      <w:r>
        <w:rPr>
          <w:rFonts w:ascii="Times New Roman" w:cs="Times New Roman" w:eastAsia="Times New Roman" w:hAnsi="Times New Roman"/>
          <w:sz w:val="24"/>
          <w:szCs w:val="24"/>
          <w:color w:val="auto"/>
        </w:rPr>
        <w:t>1700 Pennsylvania Avenue, NW, Suite 900</w:t>
      </w:r>
    </w:p>
    <w:p>
      <w:pPr>
        <w:spacing w:after="0"/>
        <w:rPr>
          <w:sz w:val="20"/>
          <w:szCs w:val="20"/>
          <w:color w:val="auto"/>
        </w:rPr>
      </w:pPr>
      <w:r>
        <w:rPr>
          <w:rFonts w:ascii="Times New Roman" w:cs="Times New Roman" w:eastAsia="Times New Roman" w:hAnsi="Times New Roman"/>
          <w:sz w:val="24"/>
          <w:szCs w:val="24"/>
          <w:color w:val="auto"/>
        </w:rPr>
        <w:t>Washington, D.C. 20006</w:t>
      </w:r>
    </w:p>
    <w:p>
      <w:pPr>
        <w:spacing w:after="0" w:line="238" w:lineRule="exact"/>
        <w:rPr>
          <w:sz w:val="20"/>
          <w:szCs w:val="20"/>
          <w:color w:val="auto"/>
        </w:rPr>
      </w:pPr>
    </w:p>
    <w:p>
      <w:pPr>
        <w:spacing w:after="0" w:line="281" w:lineRule="auto"/>
        <w:tabs>
          <w:tab w:leader="none" w:pos="72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u w:val="single" w:color="auto"/>
          <w:color w:val="auto"/>
        </w:rPr>
        <w:t>Execution in Counterparts</w:t>
      </w:r>
      <w:r>
        <w:rPr>
          <w:rFonts w:ascii="Times New Roman" w:cs="Times New Roman" w:eastAsia="Times New Roman" w:hAnsi="Times New Roman"/>
          <w:sz w:val="24"/>
          <w:szCs w:val="24"/>
          <w:color w:val="auto"/>
        </w:rPr>
        <w:t>. This Agreement may be executed in multiple counterparts,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each of which, when assembled will constitute a complete and fully executed original.</w:t>
      </w:r>
    </w:p>
    <w:p>
      <w:pPr>
        <w:spacing w:after="0" w:line="146" w:lineRule="exact"/>
        <w:rPr>
          <w:rFonts w:ascii="Times New Roman" w:cs="Times New Roman" w:eastAsia="Times New Roman" w:hAnsi="Times New Roman"/>
          <w:sz w:val="24"/>
          <w:szCs w:val="24"/>
          <w:color w:val="auto"/>
        </w:rPr>
      </w:pPr>
    </w:p>
    <w:p>
      <w:pPr>
        <w:jc w:val="both"/>
        <w:spacing w:after="0" w:line="261" w:lineRule="auto"/>
        <w:tabs>
          <w:tab w:leader="none" w:pos="720" w:val="left"/>
        </w:tabs>
        <w:numPr>
          <w:ilvl w:val="0"/>
          <w:numId w:val="5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b w:val="1"/>
          <w:bCs w:val="1"/>
          <w:u w:val="single" w:color="auto"/>
          <w:color w:val="auto"/>
        </w:rPr>
        <w:t>Additional Representations and Warranties of Certain Indemnitors</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The undersigned</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Shimmick Corporation hereby represents and warrants that it is, for all legal purposes, including all obligations set forth in this Agreement, the Bonds and the GAI, the same legal entity as SCCI National Holdings, Inc. In entering into this Agreement, it is the intent of the parties that the Indemnitors, to the fullest extent authorized by law, bind and obligate any Contractor or entity performing or participating in any combination on the Bonded Contracts to the full extent the</w:t>
      </w:r>
    </w:p>
    <w:p>
      <w:pPr>
        <w:sectPr>
          <w:pgSz w:w="12240" w:h="15840" w:orient="portrait"/>
          <w:cols w:equalWidth="0" w:num="1">
            <w:col w:w="9360"/>
          </w:cols>
          <w:pgMar w:left="1440" w:top="1412" w:right="1440" w:bottom="455"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17</w:t>
      </w:r>
    </w:p>
    <w:p>
      <w:pPr>
        <w:sectPr>
          <w:pgSz w:w="12240" w:h="15840" w:orient="portrait"/>
          <w:cols w:equalWidth="0" w:num="1">
            <w:col w:w="9360"/>
          </w:cols>
          <w:pgMar w:left="1440" w:top="1412" w:right="1440" w:bottom="455" w:gutter="0" w:footer="0" w:header="0"/>
          <w:type w:val="continuous"/>
        </w:sectPr>
      </w:pPr>
    </w:p>
    <w:bookmarkStart w:id="119" w:name="page120"/>
    <w:bookmarkEnd w:id="119"/>
    <w:p>
      <w:pPr>
        <w:jc w:val="both"/>
        <w:spacing w:after="0" w:line="252" w:lineRule="auto"/>
        <w:rPr>
          <w:sz w:val="20"/>
          <w:szCs w:val="20"/>
          <w:color w:val="auto"/>
        </w:rPr>
      </w:pPr>
      <w:r>
        <w:rPr>
          <w:rFonts w:ascii="Times New Roman" w:cs="Times New Roman" w:eastAsia="Times New Roman" w:hAnsi="Times New Roman"/>
          <w:sz w:val="24"/>
          <w:szCs w:val="24"/>
          <w:color w:val="auto"/>
        </w:rPr>
        <w:t>Indemnitors are bound and obligated hereunder, as though they were signatories to this Agreement. To the extent any party is omitted for any reason, it is agreed that they will be subsequently added to this Agreement, and it is understood that such addition would be retroactive to the effective date of this Agreement as if they had originally signed.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w:t>
      </w:r>
      <w:r>
        <w:rPr>
          <w:rFonts w:ascii="Times New Roman" w:cs="Times New Roman" w:eastAsia="Times New Roman" w:hAnsi="Times New Roman"/>
          <w:sz w:val="24"/>
          <w:szCs w:val="24"/>
          <w:b w:val="1"/>
          <w:bCs w:val="1"/>
          <w:i w:val="1"/>
          <w:iCs w:val="1"/>
          <w:color w:val="auto"/>
        </w:rPr>
        <w:t>Signature Page Follows</w:t>
      </w:r>
      <w:r>
        <w:rPr>
          <w:rFonts w:ascii="Times New Roman" w:cs="Times New Roman" w:eastAsia="Times New Roman" w:hAnsi="Times New Roman"/>
          <w:sz w:val="24"/>
          <w:szCs w:val="24"/>
          <w:b w:val="1"/>
          <w:bCs w:val="1"/>
          <w:u w:val="single" w:color="auto"/>
          <w:color w:val="auto"/>
        </w:rPr>
        <w:t>]</w:t>
      </w:r>
    </w:p>
    <w:p>
      <w:pPr>
        <w:sectPr>
          <w:pgSz w:w="12240" w:h="15840" w:orient="portrait"/>
          <w:cols w:equalWidth="0" w:num="1">
            <w:col w:w="9360"/>
          </w:cols>
          <w:pgMar w:left="1440" w:top="1416" w:right="1440" w:bottom="4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18</w:t>
      </w:r>
    </w:p>
    <w:p>
      <w:pPr>
        <w:sectPr>
          <w:pgSz w:w="12240" w:h="15840" w:orient="portrait"/>
          <w:cols w:equalWidth="0" w:num="1">
            <w:col w:w="9360"/>
          </w:cols>
          <w:pgMar w:left="1440" w:top="1416" w:right="1440" w:bottom="455" w:gutter="0" w:footer="0" w:header="0"/>
          <w:type w:val="continuous"/>
        </w:sectPr>
      </w:pPr>
    </w:p>
    <w:bookmarkStart w:id="120" w:name="page121"/>
    <w:bookmarkEnd w:id="120"/>
    <w:p>
      <w:pPr>
        <w:jc w:val="both"/>
        <w:spacing w:after="0" w:line="259" w:lineRule="auto"/>
        <w:rPr>
          <w:sz w:val="20"/>
          <w:szCs w:val="20"/>
          <w:color w:val="auto"/>
        </w:rPr>
      </w:pPr>
      <w:r>
        <w:rPr>
          <w:rFonts w:ascii="Times New Roman" w:cs="Times New Roman" w:eastAsia="Times New Roman" w:hAnsi="Times New Roman"/>
          <w:sz w:val="24"/>
          <w:szCs w:val="24"/>
          <w:color w:val="auto"/>
        </w:rPr>
        <w:t>IN WITNESS WHEREOF, the parties have executed this Agreement on the date first written above, and each of the undersigned personally represent and warrant that they have the full right, power and authority to execute this Agreement on behalf of the respective parties.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Indemnitors</w:t>
      </w:r>
      <w:r>
        <w:rPr>
          <w:rFonts w:ascii="Times New Roman" w:cs="Times New Roman" w:eastAsia="Times New Roman" w:hAnsi="Times New Roman"/>
          <w:sz w:val="24"/>
          <w:szCs w:val="24"/>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60" w:type="dxa"/>
            <w:vAlign w:val="bottom"/>
            <w:tcBorders>
              <w:top w:val="single" w:sz="8" w:color="auto"/>
            </w:tcBorders>
          </w:tcPr>
          <w:p>
            <w:pPr>
              <w:spacing w:after="0"/>
              <w:rPr>
                <w:sz w:val="22"/>
                <w:szCs w:val="22"/>
                <w:color w:val="auto"/>
              </w:rPr>
            </w:pPr>
          </w:p>
        </w:tc>
        <w:tc>
          <w:tcPr>
            <w:tcW w:w="2600" w:type="dxa"/>
            <w:vAlign w:val="bottom"/>
          </w:tcPr>
          <w:p>
            <w:pPr>
              <w:spacing w:after="0"/>
              <w:rPr>
                <w:sz w:val="22"/>
                <w:szCs w:val="22"/>
                <w:color w:val="auto"/>
              </w:rPr>
            </w:pPr>
          </w:p>
        </w:tc>
        <w:tc>
          <w:tcPr>
            <w:tcW w:w="4780" w:type="dxa"/>
            <w:vAlign w:val="bottom"/>
            <w:gridSpan w:val="2"/>
          </w:tcPr>
          <w:p>
            <w:pPr>
              <w:ind w:left="460"/>
              <w:spacing w:after="0" w:line="258" w:lineRule="exact"/>
              <w:rPr>
                <w:sz w:val="20"/>
                <w:szCs w:val="20"/>
                <w:color w:val="auto"/>
              </w:rPr>
            </w:pPr>
            <w:r>
              <w:rPr>
                <w:rFonts w:ascii="Times New Roman" w:cs="Times New Roman" w:eastAsia="Times New Roman" w:hAnsi="Times New Roman"/>
                <w:sz w:val="24"/>
                <w:szCs w:val="24"/>
                <w:color w:val="auto"/>
              </w:rPr>
              <w:t>Shimmick Corporation (f/k/a SCCI National</w:t>
            </w:r>
          </w:p>
        </w:tc>
      </w:tr>
      <w:tr>
        <w:trPr>
          <w:trHeight w:val="320"/>
        </w:trPr>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Holdings, Inc.)</w:t>
            </w:r>
          </w:p>
        </w:tc>
      </w:tr>
      <w:tr>
        <w:trPr>
          <w:trHeight w:val="1058"/>
        </w:trPr>
        <w:tc>
          <w:tcPr>
            <w:tcW w:w="38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Attest: ______________________</w:t>
            </w: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By:</w:t>
            </w:r>
          </w:p>
        </w:tc>
      </w:tr>
      <w:tr>
        <w:trPr>
          <w:trHeight w:val="256"/>
        </w:trPr>
        <w:tc>
          <w:tcPr>
            <w:tcW w:w="1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00" w:type="dxa"/>
            <w:vAlign w:val="bottom"/>
          </w:tcPr>
          <w:p>
            <w:pPr>
              <w:ind w:left="460"/>
              <w:spacing w:after="0" w:line="256" w:lineRule="exact"/>
              <w:rPr>
                <w:sz w:val="20"/>
                <w:szCs w:val="20"/>
                <w:color w:val="auto"/>
              </w:rPr>
            </w:pPr>
            <w:r>
              <w:rPr>
                <w:rFonts w:ascii="Times New Roman" w:cs="Times New Roman" w:eastAsia="Times New Roman" w:hAnsi="Times New Roman"/>
                <w:sz w:val="24"/>
                <w:szCs w:val="24"/>
                <w:color w:val="auto"/>
                <w:w w:val="97"/>
              </w:rPr>
              <w:t>Its:</w:t>
            </w:r>
          </w:p>
        </w:tc>
        <w:tc>
          <w:tcPr>
            <w:tcW w:w="3980" w:type="dxa"/>
            <w:vAlign w:val="bottom"/>
            <w:tcBorders>
              <w:top w:val="single" w:sz="8" w:color="auto"/>
            </w:tcBorders>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854"/>
        </w:trPr>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Shimmick Construction Company, Inc.</w:t>
            </w:r>
          </w:p>
        </w:tc>
      </w:tr>
      <w:tr>
        <w:trPr>
          <w:trHeight w:val="1058"/>
        </w:trPr>
        <w:tc>
          <w:tcPr>
            <w:tcW w:w="38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Attest: ______________________</w:t>
            </w: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By:</w:t>
            </w:r>
          </w:p>
        </w:tc>
      </w:tr>
      <w:tr>
        <w:trPr>
          <w:trHeight w:val="256"/>
        </w:trPr>
        <w:tc>
          <w:tcPr>
            <w:tcW w:w="1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00" w:type="dxa"/>
            <w:vAlign w:val="bottom"/>
          </w:tcPr>
          <w:p>
            <w:pPr>
              <w:ind w:left="460"/>
              <w:spacing w:after="0" w:line="256" w:lineRule="exact"/>
              <w:rPr>
                <w:sz w:val="20"/>
                <w:szCs w:val="20"/>
                <w:color w:val="auto"/>
              </w:rPr>
            </w:pPr>
            <w:r>
              <w:rPr>
                <w:rFonts w:ascii="Times New Roman" w:cs="Times New Roman" w:eastAsia="Times New Roman" w:hAnsi="Times New Roman"/>
                <w:sz w:val="24"/>
                <w:szCs w:val="24"/>
                <w:color w:val="auto"/>
                <w:w w:val="97"/>
              </w:rPr>
              <w:t>Its:</w:t>
            </w:r>
          </w:p>
        </w:tc>
        <w:tc>
          <w:tcPr>
            <w:tcW w:w="3980" w:type="dxa"/>
            <w:vAlign w:val="bottom"/>
            <w:tcBorders>
              <w:top w:val="single" w:sz="8" w:color="auto"/>
            </w:tcBorders>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1130"/>
        </w:trPr>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The Leasing Corporation</w:t>
            </w:r>
          </w:p>
        </w:tc>
      </w:tr>
      <w:tr>
        <w:trPr>
          <w:trHeight w:val="506"/>
        </w:trPr>
        <w:tc>
          <w:tcPr>
            <w:tcW w:w="38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Attest: ______________________</w:t>
            </w: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By:</w:t>
            </w:r>
          </w:p>
        </w:tc>
      </w:tr>
      <w:tr>
        <w:trPr>
          <w:trHeight w:val="256"/>
        </w:trPr>
        <w:tc>
          <w:tcPr>
            <w:tcW w:w="1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00" w:type="dxa"/>
            <w:vAlign w:val="bottom"/>
          </w:tcPr>
          <w:p>
            <w:pPr>
              <w:ind w:left="460"/>
              <w:spacing w:after="0" w:line="256" w:lineRule="exact"/>
              <w:rPr>
                <w:sz w:val="20"/>
                <w:szCs w:val="20"/>
                <w:color w:val="auto"/>
              </w:rPr>
            </w:pPr>
            <w:r>
              <w:rPr>
                <w:rFonts w:ascii="Times New Roman" w:cs="Times New Roman" w:eastAsia="Times New Roman" w:hAnsi="Times New Roman"/>
                <w:sz w:val="24"/>
                <w:szCs w:val="24"/>
                <w:color w:val="auto"/>
                <w:w w:val="97"/>
              </w:rPr>
              <w:t>Its:</w:t>
            </w:r>
          </w:p>
        </w:tc>
        <w:tc>
          <w:tcPr>
            <w:tcW w:w="3980" w:type="dxa"/>
            <w:vAlign w:val="bottom"/>
            <w:tcBorders>
              <w:top w:val="single" w:sz="8" w:color="auto"/>
            </w:tcBorders>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1084"/>
        </w:trPr>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Rust Constructors, Inc.</w:t>
            </w:r>
          </w:p>
        </w:tc>
      </w:tr>
      <w:tr>
        <w:trPr>
          <w:trHeight w:val="1058"/>
        </w:trPr>
        <w:tc>
          <w:tcPr>
            <w:tcW w:w="38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Attest: ______________________</w:t>
            </w: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By:</w:t>
            </w:r>
          </w:p>
        </w:tc>
      </w:tr>
      <w:tr>
        <w:trPr>
          <w:trHeight w:val="256"/>
        </w:trPr>
        <w:tc>
          <w:tcPr>
            <w:tcW w:w="1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00" w:type="dxa"/>
            <w:vAlign w:val="bottom"/>
          </w:tcPr>
          <w:p>
            <w:pPr>
              <w:ind w:left="460"/>
              <w:spacing w:after="0" w:line="256" w:lineRule="exact"/>
              <w:rPr>
                <w:sz w:val="20"/>
                <w:szCs w:val="20"/>
                <w:color w:val="auto"/>
              </w:rPr>
            </w:pPr>
            <w:r>
              <w:rPr>
                <w:rFonts w:ascii="Times New Roman" w:cs="Times New Roman" w:eastAsia="Times New Roman" w:hAnsi="Times New Roman"/>
                <w:sz w:val="24"/>
                <w:szCs w:val="24"/>
                <w:color w:val="auto"/>
                <w:w w:val="97"/>
              </w:rPr>
              <w:t>Its:</w:t>
            </w:r>
          </w:p>
        </w:tc>
        <w:tc>
          <w:tcPr>
            <w:tcW w:w="3980" w:type="dxa"/>
            <w:vAlign w:val="bottom"/>
            <w:tcBorders>
              <w:top w:val="single" w:sz="8" w:color="auto"/>
            </w:tcBorders>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854"/>
        </w:trPr>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Rust Constructors Puerto Rico, Inc.</w:t>
            </w:r>
          </w:p>
        </w:tc>
      </w:tr>
      <w:tr>
        <w:trPr>
          <w:trHeight w:val="1058"/>
        </w:trPr>
        <w:tc>
          <w:tcPr>
            <w:tcW w:w="38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Attest: ______________________</w:t>
            </w: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By:</w:t>
            </w:r>
          </w:p>
        </w:tc>
      </w:tr>
      <w:tr>
        <w:trPr>
          <w:trHeight w:val="256"/>
        </w:trPr>
        <w:tc>
          <w:tcPr>
            <w:tcW w:w="12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00" w:type="dxa"/>
            <w:vAlign w:val="bottom"/>
          </w:tcPr>
          <w:p>
            <w:pPr>
              <w:ind w:left="460"/>
              <w:spacing w:after="0" w:line="256" w:lineRule="exact"/>
              <w:rPr>
                <w:sz w:val="20"/>
                <w:szCs w:val="20"/>
                <w:color w:val="auto"/>
              </w:rPr>
            </w:pPr>
            <w:r>
              <w:rPr>
                <w:rFonts w:ascii="Times New Roman" w:cs="Times New Roman" w:eastAsia="Times New Roman" w:hAnsi="Times New Roman"/>
                <w:sz w:val="24"/>
                <w:szCs w:val="24"/>
                <w:color w:val="auto"/>
                <w:w w:val="97"/>
              </w:rPr>
              <w:t>Its:</w:t>
            </w:r>
          </w:p>
        </w:tc>
        <w:tc>
          <w:tcPr>
            <w:tcW w:w="3980" w:type="dxa"/>
            <w:vAlign w:val="bottom"/>
            <w:tcBorders>
              <w:top w:val="single" w:sz="8" w:color="auto"/>
            </w:tcBorders>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455"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19</w:t>
      </w:r>
    </w:p>
    <w:p>
      <w:pPr>
        <w:sectPr>
          <w:pgSz w:w="12240" w:h="15840" w:orient="portrait"/>
          <w:cols w:equalWidth="0" w:num="1">
            <w:col w:w="9360"/>
          </w:cols>
          <w:pgMar w:left="1440" w:top="1416" w:right="1440" w:bottom="455" w:gutter="0" w:footer="0" w:header="0"/>
          <w:type w:val="continuous"/>
        </w:sectPr>
      </w:pPr>
    </w:p>
    <w:bookmarkStart w:id="121" w:name="page122"/>
    <w:bookmarkEnd w:id="121"/>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u w:val="single" w:color="auto"/>
          <w:color w:val="auto"/>
        </w:rPr>
        <w:t>Surety</w:t>
      </w:r>
      <w:r>
        <w:rPr>
          <w:rFonts w:ascii="Times New Roman" w:cs="Times New Roman" w:eastAsia="Times New Roman" w:hAnsi="Times New Roman"/>
          <w:sz w:val="24"/>
          <w:szCs w:val="24"/>
          <w:color w:val="auto"/>
        </w:rPr>
        <w:t>:</w:t>
      </w:r>
    </w:p>
    <w:p>
      <w:pPr>
        <w:spacing w:after="0" w:line="3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color w:val="auto"/>
        </w:rPr>
        <w:t>Berkshire Hathaway Specialty Insurance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60" w:type="dxa"/>
            <w:vAlign w:val="bottom"/>
          </w:tcPr>
          <w:p>
            <w:pPr>
              <w:spacing w:after="0"/>
              <w:rPr>
                <w:sz w:val="20"/>
                <w:szCs w:val="20"/>
                <w:color w:val="auto"/>
              </w:rPr>
            </w:pPr>
            <w:r>
              <w:rPr>
                <w:rFonts w:ascii="Times New Roman" w:cs="Times New Roman" w:eastAsia="Times New Roman" w:hAnsi="Times New Roman"/>
                <w:sz w:val="24"/>
                <w:szCs w:val="24"/>
                <w:color w:val="auto"/>
              </w:rPr>
              <w:t>Attest: ______________________</w:t>
            </w:r>
          </w:p>
        </w:tc>
        <w:tc>
          <w:tcPr>
            <w:tcW w:w="4780" w:type="dxa"/>
            <w:vAlign w:val="bottom"/>
            <w:gridSpan w:val="2"/>
          </w:tcPr>
          <w:p>
            <w:pPr>
              <w:ind w:left="460"/>
              <w:spacing w:after="0"/>
              <w:rPr>
                <w:sz w:val="20"/>
                <w:szCs w:val="20"/>
                <w:color w:val="auto"/>
              </w:rPr>
            </w:pPr>
            <w:r>
              <w:rPr>
                <w:rFonts w:ascii="Times New Roman" w:cs="Times New Roman" w:eastAsia="Times New Roman" w:hAnsi="Times New Roman"/>
                <w:sz w:val="24"/>
                <w:szCs w:val="24"/>
                <w:color w:val="auto"/>
              </w:rPr>
              <w:t>By:</w:t>
            </w:r>
          </w:p>
        </w:tc>
      </w:tr>
      <w:tr>
        <w:trPr>
          <w:trHeight w:val="256"/>
        </w:trPr>
        <w:tc>
          <w:tcPr>
            <w:tcW w:w="3860" w:type="dxa"/>
            <w:vAlign w:val="bottom"/>
          </w:tcPr>
          <w:p>
            <w:pPr>
              <w:spacing w:after="0"/>
              <w:rPr>
                <w:sz w:val="22"/>
                <w:szCs w:val="22"/>
                <w:color w:val="auto"/>
              </w:rPr>
            </w:pPr>
          </w:p>
        </w:tc>
        <w:tc>
          <w:tcPr>
            <w:tcW w:w="800" w:type="dxa"/>
            <w:vAlign w:val="bottom"/>
          </w:tcPr>
          <w:p>
            <w:pPr>
              <w:ind w:left="460"/>
              <w:spacing w:after="0" w:line="256" w:lineRule="exact"/>
              <w:rPr>
                <w:sz w:val="20"/>
                <w:szCs w:val="20"/>
                <w:color w:val="auto"/>
              </w:rPr>
            </w:pPr>
            <w:r>
              <w:rPr>
                <w:rFonts w:ascii="Times New Roman" w:cs="Times New Roman" w:eastAsia="Times New Roman" w:hAnsi="Times New Roman"/>
                <w:sz w:val="24"/>
                <w:szCs w:val="24"/>
                <w:color w:val="auto"/>
                <w:w w:val="97"/>
              </w:rPr>
              <w:t>Its:</w:t>
            </w:r>
          </w:p>
        </w:tc>
        <w:tc>
          <w:tcPr>
            <w:tcW w:w="3980" w:type="dxa"/>
            <w:vAlign w:val="bottom"/>
            <w:tcBorders>
              <w:top w:val="single" w:sz="8" w:color="auto"/>
            </w:tcBorders>
          </w:tcPr>
          <w:p>
            <w:pPr>
              <w:spacing w:after="0"/>
              <w:rPr>
                <w:sz w:val="22"/>
                <w:szCs w:val="22"/>
                <w:color w:val="auto"/>
              </w:rPr>
            </w:pPr>
          </w:p>
        </w:tc>
      </w:tr>
      <w:tr>
        <w:trPr>
          <w:trHeight w:val="20"/>
        </w:trPr>
        <w:tc>
          <w:tcPr>
            <w:tcW w:w="38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4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20</w:t>
      </w:r>
    </w:p>
    <w:p>
      <w:pPr>
        <w:sectPr>
          <w:pgSz w:w="12240" w:h="15840" w:orient="portrait"/>
          <w:cols w:equalWidth="0" w:num="1">
            <w:col w:w="9360"/>
          </w:cols>
          <w:pgMar w:left="1440" w:top="1440" w:right="1440" w:bottom="455"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74"/>
        </w:trPr>
        <w:tc>
          <w:tcPr>
            <w:tcW w:w="8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Pr>
          <w:p>
            <w:pPr>
              <w:ind w:left="1220"/>
              <w:spacing w:after="0"/>
              <w:rPr>
                <w:sz w:val="20"/>
                <w:szCs w:val="20"/>
                <w:color w:val="auto"/>
              </w:rPr>
            </w:pPr>
            <w:r>
              <w:rPr>
                <w:rFonts w:ascii="Times New Roman" w:cs="Times New Roman" w:eastAsia="Times New Roman" w:hAnsi="Times New Roman"/>
                <w:sz w:val="20"/>
                <w:szCs w:val="20"/>
                <w:b w:val="1"/>
                <w:bCs w:val="1"/>
                <w:color w:val="auto"/>
                <w:w w:val="98"/>
              </w:rPr>
              <w:t>Exhibit 21.1</w:t>
            </w:r>
          </w:p>
        </w:tc>
      </w:tr>
      <w:tr>
        <w:trPr>
          <w:trHeight w:val="460"/>
        </w:trPr>
        <w:tc>
          <w:tcPr>
            <w:tcW w:w="8420" w:type="dxa"/>
            <w:vAlign w:val="bottom"/>
          </w:tcPr>
          <w:p>
            <w:pPr>
              <w:ind w:left="2760"/>
              <w:spacing w:after="0"/>
              <w:rPr>
                <w:sz w:val="20"/>
                <w:szCs w:val="20"/>
                <w:color w:val="auto"/>
              </w:rPr>
            </w:pPr>
            <w:r>
              <w:rPr>
                <w:rFonts w:ascii="Times New Roman" w:cs="Times New Roman" w:eastAsia="Times New Roman" w:hAnsi="Times New Roman"/>
                <w:sz w:val="20"/>
                <w:szCs w:val="20"/>
                <w:b w:val="1"/>
                <w:bCs w:val="1"/>
                <w:color w:val="auto"/>
              </w:rPr>
              <w:t>LIST OF SUBSIDIARIES OF SHIMMICK CORPORATION</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74"/>
        </w:trPr>
        <w:tc>
          <w:tcPr>
            <w:tcW w:w="8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120" w:type="dxa"/>
            <w:vAlign w:val="bottom"/>
          </w:tcPr>
          <w:p>
            <w:pPr>
              <w:spacing w:after="0"/>
              <w:rPr>
                <w:sz w:val="24"/>
                <w:szCs w:val="24"/>
                <w:color w:val="auto"/>
              </w:rPr>
            </w:pPr>
          </w:p>
        </w:tc>
        <w:tc>
          <w:tcPr>
            <w:tcW w:w="226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Jurisdiction of</w:t>
            </w:r>
          </w:p>
        </w:tc>
      </w:tr>
      <w:tr>
        <w:trPr>
          <w:trHeight w:val="273"/>
        </w:trPr>
        <w:tc>
          <w:tcPr>
            <w:tcW w:w="8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b w:val="1"/>
                <w:bCs w:val="1"/>
                <w:color w:val="auto"/>
              </w:rPr>
              <w:t>Organization</w:t>
            </w:r>
          </w:p>
        </w:tc>
      </w:tr>
      <w:tr>
        <w:trPr>
          <w:trHeight w:val="239"/>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Rust Constructors, Inc.</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The Leasing Corporation</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Nevada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Gilcrease Constructors</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Oklahoma</w:t>
            </w:r>
          </w:p>
        </w:tc>
      </w:tr>
      <w:tr>
        <w:trPr>
          <w:trHeight w:val="244"/>
        </w:trPr>
        <w:tc>
          <w:tcPr>
            <w:tcW w:w="8420" w:type="dxa"/>
            <w:vAlign w:val="bottom"/>
          </w:tcPr>
          <w:p>
            <w:pPr>
              <w:spacing w:after="0" w:line="243" w:lineRule="exact"/>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Century Rail Corporation</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Gilcrease Holding Company LLC</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Oklahoma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Gilcrease Developers LLC</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Oklahoma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Shimmick/Traylor/Granite JV</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 / Danny’s Construction Co., LLC,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 / California Engineering Contractors, Inc.,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Myers &amp; Sons / Shimmick Construction Company, Inc.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 / FCC Construccion S.A. / Impregilo S.P.A.,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SFI Leasing Company</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 / Con-Quest Contractors, Inc.,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Skansa USA Civil, Inc. / Shimmick Construction Company, Inc. / Herzog Contract Corp.,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 / Disney Construction, Inc.,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 / Parson Construction Group, Inc.,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Shimmick Construction Company Inc. / Nicholson Joint Venture</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44"/>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Eastside LRT Constructors</w:t>
            </w:r>
          </w:p>
        </w:tc>
        <w:tc>
          <w:tcPr>
            <w:tcW w:w="1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r>
      <w:tr>
        <w:trPr>
          <w:trHeight w:val="266"/>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Washington Group / Alberici Joint Venture</w:t>
            </w:r>
          </w:p>
        </w:tc>
        <w:tc>
          <w:tcPr>
            <w:tcW w:w="120" w:type="dxa"/>
            <w:vAlign w:val="bottom"/>
          </w:tcPr>
          <w:p>
            <w:pPr>
              <w:spacing w:after="0"/>
              <w:rPr>
                <w:sz w:val="23"/>
                <w:szCs w:val="23"/>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Illinois</w:t>
            </w:r>
          </w:p>
        </w:tc>
      </w:tr>
    </w:tbl>
    <w:p>
      <w:pPr>
        <w:sectPr>
          <w:pgSz w:w="12240" w:h="15840" w:orient="portrait"/>
          <w:cols w:equalWidth="0" w:num="1">
            <w:col w:w="10800"/>
          </w:cols>
          <w:pgMar w:left="720" w:top="696" w:right="72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03" w:lineRule="exact"/>
        <w:rPr>
          <w:sz w:val="20"/>
          <w:szCs w:val="20"/>
          <w:color w:val="auto"/>
        </w:rPr>
      </w:pPr>
    </w:p>
    <w:p>
      <w:pPr>
        <w:jc w:val="both"/>
        <w:ind w:right="140"/>
        <w:spacing w:after="0" w:line="29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333-275600 on Form S-8 of our report dated March 28, 2024, relating to the financial statements of Shimmick Corporation in this Annual Report on Form 10-K for the fiscal year ended December 29,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Denver, Colorado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28, 2024</w:t>
      </w:r>
    </w:p>
    <w:p>
      <w:pPr>
        <w:sectPr>
          <w:pgSz w:w="12240" w:h="15840" w:orient="portrait"/>
          <w:cols w:equalWidth="0" w:num="1">
            <w:col w:w="9360"/>
          </w:cols>
          <w:pgMar w:left="1440" w:top="1416" w:right="1440" w:bottom="1440" w:gutter="0" w:footer="0" w:header="0"/>
        </w:sectPr>
      </w:pPr>
    </w:p>
    <w:bookmarkStart w:id="124" w:name="page125"/>
    <w:bookmarkEnd w:id="124"/>
    <w:p>
      <w:pPr>
        <w:ind w:left="976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Steven E. Richards, certify that:</w:t>
      </w:r>
    </w:p>
    <w:p>
      <w:pPr>
        <w:spacing w:after="0" w:line="240" w:lineRule="exact"/>
        <w:rPr>
          <w:sz w:val="20"/>
          <w:szCs w:val="20"/>
          <w:color w:val="auto"/>
        </w:rPr>
      </w:pPr>
    </w:p>
    <w:p>
      <w:pPr>
        <w:ind w:left="500" w:hanging="500"/>
        <w:spacing w:after="0"/>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Form 10-K of Shimmick Corporation;</w:t>
      </w:r>
    </w:p>
    <w:p>
      <w:pPr>
        <w:spacing w:after="0" w:line="240" w:lineRule="exact"/>
        <w:rPr>
          <w:rFonts w:ascii="Times New Roman" w:cs="Times New Roman" w:eastAsia="Times New Roman" w:hAnsi="Times New Roman"/>
          <w:sz w:val="20"/>
          <w:szCs w:val="20"/>
          <w:color w:val="auto"/>
        </w:rPr>
      </w:pPr>
    </w:p>
    <w:p>
      <w:pPr>
        <w:ind w:left="500" w:right="240" w:hanging="500"/>
        <w:spacing w:after="0" w:line="258"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500" w:right="320" w:hanging="500"/>
        <w:spacing w:after="0" w:line="258"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500" w:right="40" w:hanging="500"/>
        <w:spacing w:after="0" w:line="258"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ind w:left="980" w:right="20" w:hanging="491"/>
        <w:spacing w:after="0" w:line="258" w:lineRule="auto"/>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ind w:left="980" w:right="340" w:hanging="491"/>
        <w:spacing w:after="0" w:line="258" w:lineRule="auto"/>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ind w:left="980" w:right="200" w:hanging="491"/>
        <w:spacing w:after="0" w:line="258" w:lineRule="auto"/>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980" w:hanging="491"/>
        <w:spacing w:after="0" w:line="278" w:lineRule="auto"/>
        <w:tabs>
          <w:tab w:leader="none" w:pos="98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ind w:left="500" w:right="640" w:hanging="500"/>
        <w:spacing w:after="0" w:line="258"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ind w:left="980" w:right="100" w:hanging="491"/>
        <w:spacing w:after="0" w:line="258" w:lineRule="auto"/>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980" w:right="540" w:hanging="491"/>
        <w:spacing w:after="0" w:line="277" w:lineRule="auto"/>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spacing w:after="0"/>
        <w:tabs>
          <w:tab w:leader="none" w:pos="5440" w:val="left"/>
          <w:tab w:leader="none" w:pos="7380" w:val="left"/>
        </w:tabs>
        <w:rPr>
          <w:sz w:val="20"/>
          <w:szCs w:val="20"/>
          <w:color w:val="auto"/>
        </w:rPr>
      </w:pPr>
      <w:r>
        <w:rPr>
          <w:rFonts w:ascii="Times New Roman" w:cs="Times New Roman" w:eastAsia="Times New Roman" w:hAnsi="Times New Roman"/>
          <w:sz w:val="20"/>
          <w:szCs w:val="20"/>
          <w:color w:val="auto"/>
        </w:rPr>
        <w:t>Date: March 28,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Steven E. Richards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3671570</wp:posOffset>
                </wp:positionH>
                <wp:positionV relativeFrom="paragraph">
                  <wp:posOffset>13335</wp:posOffset>
                </wp:positionV>
                <wp:extent cx="318643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643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1pt,1.05pt" to="540pt,1.05pt" o:allowincell="f" strokecolor="#000000" strokeweight="0.25pt"/>
            </w:pict>
          </mc:Fallback>
        </mc:AlternateContent>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20"/>
          <w:szCs w:val="20"/>
          <w:color w:val="auto"/>
        </w:rPr>
        <w:t>Steven E. Richards</w:t>
      </w:r>
    </w:p>
    <w:p>
      <w:pPr>
        <w:spacing w:after="0" w:line="20"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ectPr>
          <w:pgSz w:w="12240" w:h="15840" w:orient="portrait"/>
          <w:cols w:equalWidth="0" w:num="1">
            <w:col w:w="10800"/>
          </w:cols>
          <w:pgMar w:left="720" w:top="926" w:right="720" w:bottom="1440" w:gutter="0" w:footer="0" w:header="0"/>
        </w:sectPr>
      </w:pPr>
    </w:p>
    <w:bookmarkStart w:id="125" w:name="page126"/>
    <w:bookmarkEnd w:id="125"/>
    <w:p>
      <w:pPr>
        <w:ind w:left="976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Devin J. Nordhagen, certify that:</w:t>
      </w:r>
    </w:p>
    <w:p>
      <w:pPr>
        <w:spacing w:after="0" w:line="240" w:lineRule="exact"/>
        <w:rPr>
          <w:sz w:val="20"/>
          <w:szCs w:val="20"/>
          <w:color w:val="auto"/>
        </w:rPr>
      </w:pPr>
    </w:p>
    <w:p>
      <w:pPr>
        <w:ind w:left="500" w:hanging="500"/>
        <w:spacing w:after="0"/>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Form 10-K of Shimmick Corporation;</w:t>
      </w:r>
    </w:p>
    <w:p>
      <w:pPr>
        <w:spacing w:after="0" w:line="240" w:lineRule="exact"/>
        <w:rPr>
          <w:rFonts w:ascii="Times New Roman" w:cs="Times New Roman" w:eastAsia="Times New Roman" w:hAnsi="Times New Roman"/>
          <w:sz w:val="20"/>
          <w:szCs w:val="20"/>
          <w:color w:val="auto"/>
        </w:rPr>
      </w:pPr>
    </w:p>
    <w:p>
      <w:pPr>
        <w:ind w:left="500" w:right="240" w:hanging="500"/>
        <w:spacing w:after="0" w:line="258"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500" w:right="320" w:hanging="500"/>
        <w:spacing w:after="0" w:line="258"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500" w:right="40" w:hanging="500"/>
        <w:spacing w:after="0" w:line="258"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ind w:left="980" w:right="20" w:hanging="491"/>
        <w:spacing w:after="0" w:line="258"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ind w:left="980" w:right="340" w:hanging="491"/>
        <w:spacing w:after="0" w:line="258"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ind w:left="980" w:right="200" w:hanging="491"/>
        <w:spacing w:after="0" w:line="258"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980" w:hanging="491"/>
        <w:spacing w:after="0" w:line="278" w:lineRule="auto"/>
        <w:tabs>
          <w:tab w:leader="none" w:pos="98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ind w:left="500" w:right="640" w:hanging="500"/>
        <w:spacing w:after="0" w:line="258"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ind w:left="980" w:right="100" w:hanging="491"/>
        <w:spacing w:after="0" w:line="258"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980" w:right="540" w:hanging="491"/>
        <w:spacing w:after="0" w:line="277" w:lineRule="auto"/>
        <w:tabs>
          <w:tab w:leader="none" w:pos="9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2024</w:t>
            </w:r>
          </w:p>
        </w:tc>
        <w:tc>
          <w:tcPr>
            <w:tcW w:w="218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Devin J. Nordhagen</w:t>
            </w:r>
          </w:p>
        </w:tc>
      </w:tr>
      <w:tr>
        <w:trPr>
          <w:trHeight w:val="226"/>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02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Devin J. Nordhagen</w:t>
            </w:r>
          </w:p>
        </w:tc>
      </w:tr>
      <w:tr>
        <w:trPr>
          <w:trHeight w:val="266"/>
        </w:trPr>
        <w:tc>
          <w:tcPr>
            <w:tcW w:w="3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bl>
    <w:p>
      <w:pPr>
        <w:sectPr>
          <w:pgSz w:w="12240" w:h="15840" w:orient="portrait"/>
          <w:cols w:equalWidth="0" w:num="1">
            <w:col w:w="10800"/>
          </w:cols>
          <w:pgMar w:left="720" w:top="926" w:right="72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280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connection with the Annual Report of Shimmick Corporation (the “Company”) on Form 10-K for the period ending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29, 2023 as filed with the Securities and Exchange Commission on the date hereof (the “Report”), I certify, pursuant to 18</w:t>
      </w:r>
    </w:p>
    <w:p>
      <w:pPr>
        <w:spacing w:after="0"/>
        <w:rPr>
          <w:sz w:val="20"/>
          <w:szCs w:val="20"/>
          <w:color w:val="auto"/>
        </w:rPr>
      </w:pPr>
      <w:r>
        <w:rPr>
          <w:rFonts w:ascii="Times New Roman" w:cs="Times New Roman" w:eastAsia="Times New Roman" w:hAnsi="Times New Roman"/>
          <w:sz w:val="20"/>
          <w:szCs w:val="20"/>
          <w:color w:val="auto"/>
        </w:rPr>
        <w:t>U.S.C. § 1350, as adopted pursuant to § 906 of the Sarbanes-Oxley Act of 2002, that:</w:t>
      </w:r>
    </w:p>
    <w:p>
      <w:pPr>
        <w:spacing w:after="0" w:line="212" w:lineRule="exact"/>
        <w:rPr>
          <w:sz w:val="20"/>
          <w:szCs w:val="20"/>
          <w:color w:val="auto"/>
        </w:rPr>
      </w:pPr>
    </w:p>
    <w:p>
      <w:pPr>
        <w:ind w:left="980" w:hanging="491"/>
        <w:spacing w:after="0"/>
        <w:tabs>
          <w:tab w:leader="none" w:pos="9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20"/>
          <w:szCs w:val="20"/>
          <w:color w:val="auto"/>
        </w:rPr>
      </w:pPr>
    </w:p>
    <w:p>
      <w:pPr>
        <w:ind w:left="980" w:right="540" w:hanging="491"/>
        <w:spacing w:after="0" w:line="277" w:lineRule="auto"/>
        <w:tabs>
          <w:tab w:leader="none" w:pos="9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2024</w:t>
            </w:r>
          </w:p>
        </w:tc>
        <w:tc>
          <w:tcPr>
            <w:tcW w:w="218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Steven E. Richards</w:t>
            </w:r>
          </w:p>
        </w:tc>
      </w:tr>
      <w:tr>
        <w:trPr>
          <w:trHeight w:val="226"/>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02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Steven E. Richards</w:t>
            </w:r>
          </w:p>
        </w:tc>
      </w:tr>
      <w:tr>
        <w:trPr>
          <w:trHeight w:val="266"/>
        </w:trPr>
        <w:tc>
          <w:tcPr>
            <w:tcW w:w="3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w:t>
            </w:r>
          </w:p>
        </w:tc>
      </w:tr>
    </w:tbl>
    <w:p>
      <w:pPr>
        <w:sectPr>
          <w:pgSz w:w="12240" w:h="15840" w:orient="portrait"/>
          <w:cols w:equalWidth="0" w:num="1">
            <w:col w:w="10800"/>
          </w:cols>
          <w:pgMar w:left="720" w:top="949" w:right="72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1 ECRTI T1 ARTF O NPCUPAOR RF</w:t>
      </w:r>
    </w:p>
    <w:p>
      <w:pPr>
        <w:spacing w:after="0" w:line="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S8 P .U.1 . UE1 RTF O S350, AU ADF NRED NPCUPAOR RF</w:t>
      </w:r>
    </w:p>
    <w:p>
      <w:pPr>
        <w:ind w:left="2800"/>
        <w:spacing w:after="0"/>
        <w:rPr>
          <w:sz w:val="20"/>
          <w:szCs w:val="20"/>
          <w:color w:val="auto"/>
        </w:rPr>
      </w:pPr>
      <w:r>
        <w:rPr>
          <w:rFonts w:ascii="Times New Roman" w:cs="Times New Roman" w:eastAsia="Times New Roman" w:hAnsi="Times New Roman"/>
          <w:sz w:val="20"/>
          <w:szCs w:val="20"/>
          <w:b w:val="1"/>
          <w:bCs w:val="1"/>
          <w:color w:val="auto"/>
        </w:rPr>
        <w:t>UE1 RTF O 906 F I RHE UACBAOEU-F XLEY A1 R F I 2002</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connection with the Annual Report of Shimmick Corporation (the “Company”) on Form 10-K for the period ending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29, 2023 as filed with the Securities and Exchange Commission on the date hereof (the “Report”), I certify, pursuant to 18</w:t>
      </w:r>
    </w:p>
    <w:p>
      <w:pPr>
        <w:spacing w:after="0"/>
        <w:rPr>
          <w:sz w:val="20"/>
          <w:szCs w:val="20"/>
          <w:color w:val="auto"/>
        </w:rPr>
      </w:pPr>
      <w:r>
        <w:rPr>
          <w:rFonts w:ascii="Times New Roman" w:cs="Times New Roman" w:eastAsia="Times New Roman" w:hAnsi="Times New Roman"/>
          <w:sz w:val="20"/>
          <w:szCs w:val="20"/>
          <w:color w:val="auto"/>
        </w:rPr>
        <w:t>U.S.C. § 1350, as adopted pursuant to § 906 of the Sarbanes-Oxley Act of 2002, that:</w:t>
      </w:r>
    </w:p>
    <w:p>
      <w:pPr>
        <w:spacing w:after="0" w:line="212" w:lineRule="exact"/>
        <w:rPr>
          <w:sz w:val="20"/>
          <w:szCs w:val="20"/>
          <w:color w:val="auto"/>
        </w:rPr>
      </w:pPr>
    </w:p>
    <w:p>
      <w:pPr>
        <w:ind w:left="980" w:hanging="491"/>
        <w:spacing w:after="0"/>
        <w:tabs>
          <w:tab w:leader="none" w:pos="9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20"/>
          <w:szCs w:val="20"/>
          <w:color w:val="auto"/>
        </w:rPr>
      </w:pPr>
    </w:p>
    <w:p>
      <w:pPr>
        <w:ind w:left="980" w:right="540" w:hanging="491"/>
        <w:spacing w:after="0" w:line="277" w:lineRule="auto"/>
        <w:tabs>
          <w:tab w:leader="none" w:pos="9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2024</w:t>
            </w:r>
          </w:p>
        </w:tc>
        <w:tc>
          <w:tcPr>
            <w:tcW w:w="218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Devin J. Nordhagen</w:t>
            </w:r>
          </w:p>
        </w:tc>
      </w:tr>
      <w:tr>
        <w:trPr>
          <w:trHeight w:val="226"/>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02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Devin J. Nordhagen</w:t>
            </w:r>
          </w:p>
        </w:tc>
      </w:tr>
      <w:tr>
        <w:trPr>
          <w:trHeight w:val="266"/>
        </w:trPr>
        <w:tc>
          <w:tcPr>
            <w:tcW w:w="3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bl>
    <w:p>
      <w:pPr>
        <w:sectPr>
          <w:pgSz w:w="12240" w:h="15840" w:orient="portrait"/>
          <w:cols w:equalWidth="0" w:num="1">
            <w:col w:w="10800"/>
          </w:cols>
          <w:pgMar w:left="720" w:top="926" w:right="720" w:bottom="1440" w:gutter="0" w:footer="0" w:header="0"/>
        </w:sectPr>
      </w:pPr>
    </w:p>
    <w:bookmarkStart w:id="128" w:name="page129"/>
    <w:bookmarkEnd w:id="128"/>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SHIMMICK CORPORATION</w:t>
      </w:r>
    </w:p>
    <w:p>
      <w:pPr>
        <w:spacing w:after="0" w:line="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CLAWBACK POLICY</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Approved by the Board of Directors on November</w:t>
      </w:r>
    </w:p>
    <w:p>
      <w:pPr>
        <w:spacing w:after="0" w:line="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13, 2023</w:t>
      </w: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Effective as of October 2, 2023</w:t>
      </w:r>
    </w:p>
    <w:p>
      <w:pPr>
        <w:spacing w:after="0" w:line="365" w:lineRule="exact"/>
        <w:rPr>
          <w:sz w:val="20"/>
          <w:szCs w:val="20"/>
          <w:color w:val="auto"/>
        </w:rPr>
      </w:pPr>
    </w:p>
    <w:p>
      <w:pPr>
        <w:jc w:val="both"/>
        <w:ind w:right="20"/>
        <w:spacing w:after="0" w:line="246" w:lineRule="auto"/>
        <w:tabs>
          <w:tab w:leader="none" w:pos="605"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Purpose</w:t>
      </w:r>
      <w:r>
        <w:rPr>
          <w:rFonts w:ascii="Times New Roman" w:cs="Times New Roman" w:eastAsia="Times New Roman" w:hAnsi="Times New Roman"/>
          <w:sz w:val="24"/>
          <w:szCs w:val="24"/>
          <w:color w:val="auto"/>
        </w:rPr>
        <w:t>. The purpose of this Policy is to describe the circumstances in which Executive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Officers will be required to repay or return Erroneously Awarded Compensation to members of the Company Group. This Policy is designed to comply with, and will be interpreted in a manner that is consistent with, Section 954 of the Dodd-Frank Wall Street Reform and Consumer Protection Act of 2010, Section 10D of the Securities Exchange Act of 1934 and the listing standards of the Nasdaq Stock Market LLC (“</w:t>
      </w:r>
      <w:r>
        <w:rPr>
          <w:rFonts w:ascii="Times New Roman" w:cs="Times New Roman" w:eastAsia="Times New Roman" w:hAnsi="Times New Roman"/>
          <w:sz w:val="24"/>
          <w:szCs w:val="24"/>
          <w:b w:val="1"/>
          <w:bCs w:val="1"/>
          <w:i w:val="1"/>
          <w:iCs w:val="1"/>
          <w:color w:val="auto"/>
        </w:rPr>
        <w:t>Nasdaq</w:t>
      </w:r>
      <w:r>
        <w:rPr>
          <w:rFonts w:ascii="Times New Roman" w:cs="Times New Roman" w:eastAsia="Times New Roman" w:hAnsi="Times New Roman"/>
          <w:sz w:val="24"/>
          <w:szCs w:val="24"/>
          <w:color w:val="auto"/>
        </w:rPr>
        <w:t>”) or any other national securities exchange on which the Company’s securities are listed.</w:t>
      </w:r>
    </w:p>
    <w:p>
      <w:pPr>
        <w:spacing w:after="0" w:line="237" w:lineRule="exact"/>
        <w:rPr>
          <w:rFonts w:ascii="Times New Roman" w:cs="Times New Roman" w:eastAsia="Times New Roman" w:hAnsi="Times New Roman"/>
          <w:sz w:val="24"/>
          <w:szCs w:val="24"/>
          <w:color w:val="auto"/>
        </w:rPr>
      </w:pPr>
    </w:p>
    <w:p>
      <w:pPr>
        <w:ind w:right="20"/>
        <w:spacing w:after="0" w:line="281" w:lineRule="auto"/>
        <w:tabs>
          <w:tab w:leader="none" w:pos="605"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Administration</w:t>
      </w:r>
      <w:r>
        <w:rPr>
          <w:rFonts w:ascii="Times New Roman" w:cs="Times New Roman" w:eastAsia="Times New Roman" w:hAnsi="Times New Roman"/>
          <w:sz w:val="24"/>
          <w:szCs w:val="24"/>
          <w:color w:val="auto"/>
        </w:rPr>
        <w:t>. This Policy shall be administered by the Committee. Any determinations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made by the Committee shall be final and binding on all affected individuals.</w:t>
      </w:r>
    </w:p>
    <w:p>
      <w:pPr>
        <w:spacing w:after="0" w:line="190" w:lineRule="exact"/>
        <w:rPr>
          <w:rFonts w:ascii="Times New Roman" w:cs="Times New Roman" w:eastAsia="Times New Roman" w:hAnsi="Times New Roman"/>
          <w:sz w:val="24"/>
          <w:szCs w:val="24"/>
          <w:color w:val="auto"/>
        </w:rPr>
      </w:pPr>
    </w:p>
    <w:p>
      <w:pPr>
        <w:ind w:right="20"/>
        <w:spacing w:after="0" w:line="281" w:lineRule="auto"/>
        <w:tabs>
          <w:tab w:leader="none" w:pos="605"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Definitions</w:t>
      </w:r>
      <w:r>
        <w:rPr>
          <w:rFonts w:ascii="Times New Roman" w:cs="Times New Roman" w:eastAsia="Times New Roman" w:hAnsi="Times New Roman"/>
          <w:sz w:val="24"/>
          <w:szCs w:val="24"/>
          <w:color w:val="auto"/>
        </w:rPr>
        <w:t>. For purposes of this Policy, the following capitalized terms shall have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meanings set forth below.</w:t>
      </w:r>
    </w:p>
    <w:p>
      <w:pPr>
        <w:spacing w:after="0" w:line="196" w:lineRule="exact"/>
        <w:rPr>
          <w:rFonts w:ascii="Times New Roman" w:cs="Times New Roman" w:eastAsia="Times New Roman" w:hAnsi="Times New Roman"/>
          <w:sz w:val="24"/>
          <w:szCs w:val="24"/>
          <w:color w:val="auto"/>
        </w:rPr>
      </w:pPr>
    </w:p>
    <w:p>
      <w:pPr>
        <w:jc w:val="both"/>
        <w:ind w:right="20" w:firstLine="720"/>
        <w:spacing w:after="0" w:line="247" w:lineRule="auto"/>
        <w:tabs>
          <w:tab w:leader="none" w:pos="1325" w:val="left"/>
        </w:tabs>
        <w:numPr>
          <w:ilvl w:val="2"/>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Accounting Restatement</w:t>
      </w:r>
      <w:r>
        <w:rPr>
          <w:rFonts w:ascii="Times New Roman" w:cs="Times New Roman" w:eastAsia="Times New Roman" w:hAnsi="Times New Roman"/>
          <w:sz w:val="24"/>
          <w:szCs w:val="24"/>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w:t>
      </w:r>
    </w:p>
    <w:p>
      <w:pPr>
        <w:spacing w:after="0" w:line="1" w:lineRule="exact"/>
        <w:rPr>
          <w:rFonts w:ascii="Times New Roman" w:cs="Times New Roman" w:eastAsia="Times New Roman" w:hAnsi="Times New Roman"/>
          <w:sz w:val="24"/>
          <w:szCs w:val="24"/>
          <w:color w:val="auto"/>
        </w:rPr>
      </w:pPr>
    </w:p>
    <w:p>
      <w:pPr>
        <w:jc w:val="both"/>
        <w:ind w:firstLine="3"/>
        <w:spacing w:after="0" w:line="244" w:lineRule="auto"/>
        <w:tabs>
          <w:tab w:leader="none" w:pos="362" w:val="left"/>
        </w:tabs>
        <w:numPr>
          <w:ilvl w:val="1"/>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that corrects an error that is not material to previously issued financial statements, but would result in a material misstatement if the error were corrected in the current period or left uncorrected in the current period.</w:t>
      </w:r>
    </w:p>
    <w:p>
      <w:pPr>
        <w:spacing w:after="0" w:line="238" w:lineRule="exact"/>
        <w:rPr>
          <w:rFonts w:ascii="Times New Roman" w:cs="Times New Roman" w:eastAsia="Times New Roman" w:hAnsi="Times New Roman"/>
          <w:sz w:val="24"/>
          <w:szCs w:val="24"/>
          <w:color w:val="auto"/>
        </w:rPr>
      </w:pPr>
    </w:p>
    <w:p>
      <w:pPr>
        <w:ind w:left="1440" w:hanging="720"/>
        <w:spacing w:after="0"/>
        <w:tabs>
          <w:tab w:leader="none" w:pos="1440" w:val="left"/>
        </w:tabs>
        <w:numPr>
          <w:ilvl w:val="2"/>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Board</w:t>
      </w:r>
      <w:r>
        <w:rPr>
          <w:rFonts w:ascii="Times New Roman" w:cs="Times New Roman" w:eastAsia="Times New Roman" w:hAnsi="Times New Roman"/>
          <w:sz w:val="24"/>
          <w:szCs w:val="24"/>
          <w:color w:val="auto"/>
        </w:rPr>
        <w:t>” shall mean the Board of Directors of the Company.</w:t>
      </w:r>
    </w:p>
    <w:p>
      <w:pPr>
        <w:spacing w:after="0" w:line="285" w:lineRule="exact"/>
        <w:rPr>
          <w:rFonts w:ascii="Times New Roman" w:cs="Times New Roman" w:eastAsia="Times New Roman" w:hAnsi="Times New Roman"/>
          <w:sz w:val="24"/>
          <w:szCs w:val="24"/>
          <w:color w:val="auto"/>
        </w:rPr>
      </w:pPr>
    </w:p>
    <w:p>
      <w:pPr>
        <w:jc w:val="both"/>
        <w:ind w:right="20" w:firstLine="720"/>
        <w:spacing w:after="0" w:line="244" w:lineRule="auto"/>
        <w:tabs>
          <w:tab w:leader="none" w:pos="1325" w:val="left"/>
        </w:tabs>
        <w:numPr>
          <w:ilvl w:val="2"/>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Clawback Eligible Incentive Compensation</w:t>
      </w:r>
      <w:r>
        <w:rPr>
          <w:rFonts w:ascii="Times New Roman" w:cs="Times New Roman" w:eastAsia="Times New Roman" w:hAnsi="Times New Roman"/>
          <w:sz w:val="24"/>
          <w:szCs w:val="24"/>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spacing w:after="0" w:line="324" w:lineRule="exact"/>
        <w:rPr>
          <w:rFonts w:ascii="Times New Roman" w:cs="Times New Roman" w:eastAsia="Times New Roman" w:hAnsi="Times New Roman"/>
          <w:sz w:val="24"/>
          <w:szCs w:val="24"/>
          <w:color w:val="auto"/>
        </w:rPr>
      </w:pPr>
    </w:p>
    <w:p>
      <w:pPr>
        <w:jc w:val="both"/>
        <w:ind w:right="20" w:firstLine="720"/>
        <w:spacing w:after="0" w:line="247" w:lineRule="auto"/>
        <w:tabs>
          <w:tab w:leader="none" w:pos="1325" w:val="left"/>
        </w:tabs>
        <w:numPr>
          <w:ilvl w:val="2"/>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Clawback Period</w:t>
      </w:r>
      <w:r>
        <w:rPr>
          <w:rFonts w:ascii="Times New Roman" w:cs="Times New Roman" w:eastAsia="Times New Roman" w:hAnsi="Times New Roman"/>
          <w:sz w:val="24"/>
          <w:szCs w:val="24"/>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 w:lineRule="exact"/>
        <w:rPr>
          <w:rFonts w:ascii="Times New Roman" w:cs="Times New Roman" w:eastAsia="Times New Roman" w:hAnsi="Times New Roman"/>
          <w:sz w:val="24"/>
          <w:szCs w:val="24"/>
          <w:color w:val="auto"/>
        </w:rPr>
      </w:pPr>
    </w:p>
    <w:p>
      <w:pPr>
        <w:ind w:left="1320" w:hanging="528"/>
        <w:spacing w:after="0"/>
        <w:tabs>
          <w:tab w:leader="none" w:pos="1320" w:val="left"/>
        </w:tabs>
        <w:numPr>
          <w:ilvl w:val="3"/>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Committee</w:t>
      </w:r>
      <w:r>
        <w:rPr>
          <w:rFonts w:ascii="Times New Roman" w:cs="Times New Roman" w:eastAsia="Times New Roman" w:hAnsi="Times New Roman"/>
          <w:sz w:val="24"/>
          <w:szCs w:val="24"/>
          <w:color w:val="auto"/>
        </w:rPr>
        <w:t>” shall mean the Compensation Committee of the Board.</w:t>
      </w:r>
    </w:p>
    <w:p>
      <w:pPr>
        <w:spacing w:after="0" w:line="332" w:lineRule="exact"/>
        <w:rPr>
          <w:sz w:val="20"/>
          <w:szCs w:val="20"/>
          <w:color w:val="auto"/>
        </w:rPr>
      </w:pPr>
    </w:p>
    <w:p>
      <w:pPr>
        <w:ind w:left="1440" w:hanging="720"/>
        <w:spacing w:after="0"/>
        <w:tabs>
          <w:tab w:leader="none" w:pos="1440" w:val="left"/>
        </w:tabs>
        <w:numPr>
          <w:ilvl w:val="0"/>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shall mean Shimmick Corporation, a Delaware corporation.</w:t>
      </w:r>
    </w:p>
    <w:p>
      <w:pPr>
        <w:spacing w:after="0" w:line="285" w:lineRule="exact"/>
        <w:rPr>
          <w:rFonts w:ascii="Times New Roman" w:cs="Times New Roman" w:eastAsia="Times New Roman" w:hAnsi="Times New Roman"/>
          <w:sz w:val="24"/>
          <w:szCs w:val="24"/>
          <w:color w:val="auto"/>
        </w:rPr>
      </w:pPr>
    </w:p>
    <w:p>
      <w:pPr>
        <w:ind w:left="1440" w:hanging="720"/>
        <w:spacing w:after="0"/>
        <w:tabs>
          <w:tab w:leader="none" w:pos="1440" w:val="left"/>
        </w:tabs>
        <w:numPr>
          <w:ilvl w:val="0"/>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Company Group</w:t>
      </w:r>
      <w:r>
        <w:rPr>
          <w:rFonts w:ascii="Times New Roman" w:cs="Times New Roman" w:eastAsia="Times New Roman" w:hAnsi="Times New Roman"/>
          <w:sz w:val="24"/>
          <w:szCs w:val="24"/>
          <w:color w:val="auto"/>
        </w:rPr>
        <w:t>” shall mean the Company, together with each of its direct and</w:t>
      </w:r>
    </w:p>
    <w:p>
      <w:pPr>
        <w:sectPr>
          <w:pgSz w:w="12240" w:h="15840" w:orient="portrait"/>
          <w:cols w:equalWidth="0" w:num="1">
            <w:col w:w="9380"/>
          </w:cols>
          <w:pgMar w:left="1440" w:top="1321" w:right="1420" w:bottom="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4"/>
          <w:szCs w:val="24"/>
          <w:color w:val="auto"/>
        </w:rPr>
        <w:t>indirect subsidiaries.</w:t>
      </w:r>
    </w:p>
    <w:p>
      <w:pPr>
        <w:spacing w:after="0" w:line="286" w:lineRule="exact"/>
        <w:rPr>
          <w:sz w:val="20"/>
          <w:szCs w:val="20"/>
          <w:color w:val="auto"/>
        </w:rPr>
      </w:pPr>
    </w:p>
    <w:p>
      <w:pPr>
        <w:ind w:left="1440" w:hanging="720"/>
        <w:spacing w:after="0"/>
        <w:tabs>
          <w:tab w:leader="none" w:pos="1440"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Effective Date</w:t>
      </w:r>
      <w:r>
        <w:rPr>
          <w:rFonts w:ascii="Times New Roman" w:cs="Times New Roman" w:eastAsia="Times New Roman" w:hAnsi="Times New Roman"/>
          <w:sz w:val="24"/>
          <w:szCs w:val="24"/>
          <w:color w:val="auto"/>
        </w:rPr>
        <w:t>” shall mean October 2, 2023.</w:t>
      </w:r>
    </w:p>
    <w:p>
      <w:pPr>
        <w:spacing w:after="0" w:line="287" w:lineRule="exact"/>
        <w:rPr>
          <w:rFonts w:ascii="Times New Roman" w:cs="Times New Roman" w:eastAsia="Times New Roman" w:hAnsi="Times New Roman"/>
          <w:sz w:val="24"/>
          <w:szCs w:val="24"/>
          <w:color w:val="auto"/>
        </w:rPr>
      </w:pPr>
    </w:p>
    <w:p>
      <w:pPr>
        <w:jc w:val="both"/>
        <w:ind w:right="20" w:firstLine="720"/>
        <w:spacing w:after="0" w:line="249" w:lineRule="auto"/>
        <w:tabs>
          <w:tab w:leader="none" w:pos="1325"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Erroneously Awarded Compensation</w:t>
      </w:r>
      <w:r>
        <w:rPr>
          <w:rFonts w:ascii="Times New Roman" w:cs="Times New Roman" w:eastAsia="Times New Roman" w:hAnsi="Times New Roman"/>
          <w:sz w:val="24"/>
          <w:szCs w:val="24"/>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233" w:lineRule="exact"/>
        <w:rPr>
          <w:rFonts w:ascii="Times New Roman" w:cs="Times New Roman" w:eastAsia="Times New Roman" w:hAnsi="Times New Roman"/>
          <w:sz w:val="24"/>
          <w:szCs w:val="24"/>
          <w:color w:val="auto"/>
        </w:rPr>
      </w:pPr>
    </w:p>
    <w:p>
      <w:pPr>
        <w:jc w:val="both"/>
        <w:ind w:right="20" w:firstLine="720"/>
        <w:spacing w:after="0" w:line="244" w:lineRule="auto"/>
        <w:tabs>
          <w:tab w:leader="none" w:pos="1325"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Executive Officer</w:t>
      </w:r>
      <w:r>
        <w:rPr>
          <w:rFonts w:ascii="Times New Roman" w:cs="Times New Roman" w:eastAsia="Times New Roman" w:hAnsi="Times New Roman"/>
          <w:sz w:val="24"/>
          <w:szCs w:val="24"/>
          <w:color w:val="auto"/>
        </w:rPr>
        <w:t>” shall mean (i) the Company’s current and former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policy-making function for the Company, or any other person who performs similar policy-making functions for the Company, as determined by the Committee in accordance with Federal securities laws, SEC rules or the rules of any national securities exchange or national securities association on which the Company’s securities are listed. Identification of an executive officer for purposes of this Policy includes at a minimum executive officers identified pursuant to 17 C.F.R. 229.401(b).</w:t>
      </w:r>
    </w:p>
    <w:p>
      <w:pPr>
        <w:spacing w:after="0" w:line="239" w:lineRule="exact"/>
        <w:rPr>
          <w:rFonts w:ascii="Times New Roman" w:cs="Times New Roman" w:eastAsia="Times New Roman" w:hAnsi="Times New Roman"/>
          <w:sz w:val="24"/>
          <w:szCs w:val="24"/>
          <w:color w:val="auto"/>
        </w:rPr>
      </w:pPr>
    </w:p>
    <w:p>
      <w:pPr>
        <w:jc w:val="both"/>
        <w:ind w:firstLine="720"/>
        <w:spacing w:after="0" w:line="258" w:lineRule="auto"/>
        <w:tabs>
          <w:tab w:leader="none" w:pos="1325" w:val="left"/>
        </w:tabs>
        <w:numPr>
          <w:ilvl w:val="0"/>
          <w:numId w:val="6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i w:val="1"/>
          <w:iCs w:val="1"/>
          <w:color w:val="auto"/>
        </w:rPr>
        <w:t>Financial Reporting Measures</w:t>
      </w:r>
      <w:r>
        <w:rPr>
          <w:rFonts w:ascii="Times New Roman" w:cs="Times New Roman" w:eastAsia="Times New Roman" w:hAnsi="Times New Roman"/>
          <w:sz w:val="23"/>
          <w:szCs w:val="23"/>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228" w:lineRule="exact"/>
        <w:rPr>
          <w:rFonts w:ascii="Times New Roman" w:cs="Times New Roman" w:eastAsia="Times New Roman" w:hAnsi="Times New Roman"/>
          <w:sz w:val="23"/>
          <w:szCs w:val="23"/>
          <w:color w:val="auto"/>
        </w:rPr>
      </w:pPr>
    </w:p>
    <w:p>
      <w:pPr>
        <w:jc w:val="both"/>
        <w:ind w:right="20" w:firstLine="720"/>
        <w:spacing w:after="0" w:line="255" w:lineRule="auto"/>
        <w:tabs>
          <w:tab w:leader="none" w:pos="1325" w:val="left"/>
        </w:tabs>
        <w:numPr>
          <w:ilvl w:val="0"/>
          <w:numId w:val="6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i w:val="1"/>
          <w:iCs w:val="1"/>
          <w:color w:val="auto"/>
        </w:rPr>
        <w:t>Incentive-based Compensation</w:t>
      </w:r>
      <w:r>
        <w:rPr>
          <w:rFonts w:ascii="Times New Roman" w:cs="Times New Roman" w:eastAsia="Times New Roman" w:hAnsi="Times New Roman"/>
          <w:sz w:val="23"/>
          <w:szCs w:val="23"/>
          <w:color w:val="auto"/>
        </w:rPr>
        <w:t>” shall mean any compensation that is granted, earned or vested based wholly or in part upon the attainment of a Financial Reporting Measure. Incentive-based Compensation does not include: (i) bonuses paid solely at the discretion of the Board or the Committee that are not paid from a bonus pool that is determined by satisfying a financial reporting measure performance goal or solely upon satisfying one or more subjective standards and/or completion of a specified employment period, (ii) non-equity incentive plan awards earned solely upon satisfying one or more strategic or operational measures, (iii) equity awards not contingent upon achieving any financial reporting measure performance goal and vesting is contingent solely upon the completion of a specified employment period and/or attaining one or more non-financial reporting measures or (iv) any Incentive-based Compensation received before the Company had a class of securities listed on a national securities exchange.</w:t>
      </w:r>
    </w:p>
    <w:p>
      <w:pPr>
        <w:spacing w:after="0" w:line="230" w:lineRule="exact"/>
        <w:rPr>
          <w:rFonts w:ascii="Times New Roman" w:cs="Times New Roman" w:eastAsia="Times New Roman" w:hAnsi="Times New Roman"/>
          <w:sz w:val="23"/>
          <w:szCs w:val="23"/>
          <w:color w:val="auto"/>
        </w:rPr>
      </w:pPr>
    </w:p>
    <w:p>
      <w:pPr>
        <w:ind w:right="20" w:firstLine="720"/>
        <w:spacing w:after="0" w:line="278" w:lineRule="auto"/>
        <w:tabs>
          <w:tab w:leader="none" w:pos="1325"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Policy</w:t>
      </w:r>
      <w:r>
        <w:rPr>
          <w:rFonts w:ascii="Times New Roman" w:cs="Times New Roman" w:eastAsia="Times New Roman" w:hAnsi="Times New Roman"/>
          <w:sz w:val="24"/>
          <w:szCs w:val="24"/>
          <w:color w:val="auto"/>
        </w:rPr>
        <w:t>” shall mean this Clawback Policy, as the same may be amended and/or restated from time to time.</w:t>
      </w:r>
    </w:p>
    <w:p>
      <w:pPr>
        <w:spacing w:after="0" w:line="196" w:lineRule="exact"/>
        <w:rPr>
          <w:rFonts w:ascii="Times New Roman" w:cs="Times New Roman" w:eastAsia="Times New Roman" w:hAnsi="Times New Roman"/>
          <w:sz w:val="24"/>
          <w:szCs w:val="24"/>
          <w:color w:val="auto"/>
        </w:rPr>
      </w:pPr>
    </w:p>
    <w:p>
      <w:pPr>
        <w:jc w:val="both"/>
        <w:ind w:right="20" w:firstLine="720"/>
        <w:spacing w:after="0" w:line="267" w:lineRule="auto"/>
        <w:tabs>
          <w:tab w:leader="none" w:pos="1325" w:val="left"/>
        </w:tabs>
        <w:numPr>
          <w:ilvl w:val="0"/>
          <w:numId w:val="6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i w:val="1"/>
          <w:iCs w:val="1"/>
          <w:color w:val="auto"/>
        </w:rPr>
        <w:t>Received</w:t>
      </w:r>
      <w:r>
        <w:rPr>
          <w:rFonts w:ascii="Times New Roman" w:cs="Times New Roman" w:eastAsia="Times New Roman" w:hAnsi="Times New Roman"/>
          <w:sz w:val="23"/>
          <w:szCs w:val="23"/>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w:t>
      </w:r>
    </w:p>
    <w:p>
      <w:pPr>
        <w:sectPr>
          <w:pgSz w:w="12240" w:h="15840" w:orient="portrait"/>
          <w:cols w:equalWidth="0" w:num="1">
            <w:col w:w="9380"/>
          </w:cols>
          <w:pgMar w:left="1440" w:top="1361" w:right="1420" w:bottom="525"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4"/>
          <w:szCs w:val="24"/>
          <w:color w:val="auto"/>
        </w:rPr>
        <w:t>occurs after the end of that period.</w:t>
      </w:r>
    </w:p>
    <w:p>
      <w:pPr>
        <w:spacing w:after="0" w:line="287" w:lineRule="exact"/>
        <w:rPr>
          <w:sz w:val="20"/>
          <w:szCs w:val="20"/>
          <w:color w:val="auto"/>
        </w:rPr>
      </w:pPr>
    </w:p>
    <w:p>
      <w:pPr>
        <w:ind w:left="1440" w:hanging="720"/>
        <w:spacing w:after="0"/>
        <w:tabs>
          <w:tab w:leader="none" w:pos="144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Restatement Date</w:t>
      </w:r>
      <w:r>
        <w:rPr>
          <w:rFonts w:ascii="Times New Roman" w:cs="Times New Roman" w:eastAsia="Times New Roman" w:hAnsi="Times New Roman"/>
          <w:sz w:val="24"/>
          <w:szCs w:val="24"/>
          <w:color w:val="auto"/>
        </w:rPr>
        <w:t>” shall mean the earlier to occur of (i) the date the Board, a</w:t>
      </w:r>
    </w:p>
    <w:p>
      <w:pPr>
        <w:sectPr>
          <w:pgSz w:w="12240" w:h="15840" w:orient="portrait"/>
          <w:cols w:equalWidth="0" w:num="1">
            <w:col w:w="9360"/>
          </w:cols>
          <w:pgMar w:left="1440" w:top="1301" w:right="1440" w:bottom="1440" w:gutter="0" w:footer="0" w:header="0"/>
        </w:sectPr>
      </w:pPr>
    </w:p>
    <w:bookmarkStart w:id="131" w:name="page132"/>
    <w:bookmarkEnd w:id="131"/>
    <w:p>
      <w:pPr>
        <w:jc w:val="both"/>
        <w:spacing w:after="0" w:line="252" w:lineRule="auto"/>
        <w:rPr>
          <w:sz w:val="20"/>
          <w:szCs w:val="20"/>
          <w:color w:val="auto"/>
        </w:rPr>
      </w:pPr>
      <w:r>
        <w:rPr>
          <w:rFonts w:ascii="Times New Roman" w:cs="Times New Roman" w:eastAsia="Times New Roman" w:hAnsi="Times New Roman"/>
          <w:sz w:val="24"/>
          <w:szCs w:val="24"/>
          <w:color w:val="auto"/>
        </w:rPr>
        <w:t>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231" w:lineRule="exact"/>
        <w:rPr>
          <w:sz w:val="20"/>
          <w:szCs w:val="20"/>
          <w:color w:val="auto"/>
        </w:rPr>
      </w:pPr>
    </w:p>
    <w:p>
      <w:pPr>
        <w:ind w:left="1440" w:hanging="720"/>
        <w:spacing w:after="0"/>
        <w:tabs>
          <w:tab w:leader="none" w:pos="1440" w:val="left"/>
        </w:tabs>
        <w:numPr>
          <w:ilvl w:val="2"/>
          <w:numId w:val="6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shall mean the U.S. Securities and Exchange Commission.</w:t>
      </w:r>
    </w:p>
    <w:p>
      <w:pPr>
        <w:spacing w:after="0" w:line="361" w:lineRule="exact"/>
        <w:rPr>
          <w:rFonts w:ascii="Times New Roman" w:cs="Times New Roman" w:eastAsia="Times New Roman" w:hAnsi="Times New Roman"/>
          <w:sz w:val="24"/>
          <w:szCs w:val="24"/>
          <w:color w:val="auto"/>
        </w:rPr>
      </w:pPr>
    </w:p>
    <w:p>
      <w:pPr>
        <w:ind w:left="720" w:hanging="720"/>
        <w:spacing w:after="0"/>
        <w:tabs>
          <w:tab w:leader="none" w:pos="720" w:val="left"/>
        </w:tabs>
        <w:numPr>
          <w:ilvl w:val="0"/>
          <w:numId w:val="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Repayment of Erroneously Awarded Compensation</w:t>
      </w:r>
      <w:r>
        <w:rPr>
          <w:rFonts w:ascii="Times New Roman" w:cs="Times New Roman" w:eastAsia="Times New Roman" w:hAnsi="Times New Roman"/>
          <w:sz w:val="24"/>
          <w:szCs w:val="24"/>
          <w:color w:val="auto"/>
        </w:rPr>
        <w:t>.</w:t>
      </w:r>
    </w:p>
    <w:p>
      <w:pPr>
        <w:spacing w:after="0" w:line="288" w:lineRule="exact"/>
        <w:rPr>
          <w:rFonts w:ascii="Times New Roman" w:cs="Times New Roman" w:eastAsia="Times New Roman" w:hAnsi="Times New Roman"/>
          <w:sz w:val="24"/>
          <w:szCs w:val="24"/>
          <w:color w:val="auto"/>
        </w:rPr>
      </w:pPr>
    </w:p>
    <w:p>
      <w:pPr>
        <w:jc w:val="both"/>
        <w:ind w:firstLine="720"/>
        <w:spacing w:after="0" w:line="252" w:lineRule="auto"/>
        <w:tabs>
          <w:tab w:leader="none" w:pos="1325" w:val="left"/>
        </w:tabs>
        <w:numPr>
          <w:ilvl w:val="2"/>
          <w:numId w:val="7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In the event of an Accounting Restatement, the Committee shall determine the amount of any Erroneously Awarded Compensation for each Executive Officer in connection with such Accounting Restatement and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 Notwithstanding the foregoing, in the event the Accounting Restatement is as a result of misconduct, then, in addition to any other recoupment obligations set forth in this Policy, the Company’s chief executive officer and chief financial officer shall reimburse the Company for</w:t>
      </w:r>
    </w:p>
    <w:p>
      <w:pPr>
        <w:spacing w:after="0" w:line="10" w:lineRule="exact"/>
        <w:rPr>
          <w:rFonts w:ascii="Times New Roman" w:cs="Times New Roman" w:eastAsia="Times New Roman" w:hAnsi="Times New Roman"/>
          <w:sz w:val="23"/>
          <w:szCs w:val="23"/>
          <w:color w:val="auto"/>
        </w:rPr>
      </w:pPr>
    </w:p>
    <w:p>
      <w:pPr>
        <w:jc w:val="both"/>
        <w:ind w:firstLine="4"/>
        <w:spacing w:after="0" w:line="256" w:lineRule="auto"/>
        <w:tabs>
          <w:tab w:leader="none" w:pos="277" w:val="left"/>
        </w:tabs>
        <w:numPr>
          <w:ilvl w:val="1"/>
          <w:numId w:val="7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bonus or other incentive-based or equity-based compensation received by such person from the Company during the 12-month period following the public issuance or filing of the Accounting Restatement and (ii) any profits realized from the sale of securities of the Company during such 12- month period, in accordance with the requirements of the Sarbanes-Oxley Act of 2022.</w:t>
      </w:r>
    </w:p>
    <w:p>
      <w:pPr>
        <w:spacing w:after="0" w:line="226" w:lineRule="exact"/>
        <w:rPr>
          <w:rFonts w:ascii="Times New Roman" w:cs="Times New Roman" w:eastAsia="Times New Roman" w:hAnsi="Times New Roman"/>
          <w:sz w:val="23"/>
          <w:szCs w:val="23"/>
          <w:color w:val="auto"/>
        </w:rPr>
      </w:pPr>
    </w:p>
    <w:p>
      <w:pPr>
        <w:jc w:val="both"/>
        <w:ind w:firstLine="720"/>
        <w:spacing w:after="0" w:line="254" w:lineRule="auto"/>
        <w:tabs>
          <w:tab w:leader="none" w:pos="1325" w:val="left"/>
        </w:tabs>
        <w:numPr>
          <w:ilvl w:val="2"/>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Committee may seek recoupment in the manner it chooses, in its sole discretion, which may include, without limitation, one or a combination of the following: (i) direct reimbursement from the Executive Officer of Incentive-based Compensation previously paid, (ii) deduction of the recouped amount from unpaid compensation otherwise owed by the Company to the Executive Officer, (iii) set-off,</w:t>
      </w:r>
    </w:p>
    <w:p>
      <w:pPr>
        <w:spacing w:after="0" w:line="3" w:lineRule="exact"/>
        <w:rPr>
          <w:rFonts w:ascii="Times New Roman" w:cs="Times New Roman" w:eastAsia="Times New Roman" w:hAnsi="Times New Roman"/>
          <w:sz w:val="23"/>
          <w:szCs w:val="23"/>
          <w:color w:val="auto"/>
        </w:rPr>
      </w:pPr>
    </w:p>
    <w:p>
      <w:pPr>
        <w:jc w:val="both"/>
        <w:spacing w:after="0" w:line="242"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(iv) rescinding or cancelling vested or unvested equity or cash based awards, and (v) any other remedial and recovery action permitted by law, as determined by the Committee.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239" w:lineRule="exact"/>
        <w:rPr>
          <w:rFonts w:ascii="Times New Roman" w:cs="Times New Roman" w:eastAsia="Times New Roman" w:hAnsi="Times New Roman"/>
          <w:sz w:val="23"/>
          <w:szCs w:val="23"/>
          <w:color w:val="auto"/>
        </w:rPr>
      </w:pPr>
    </w:p>
    <w:p>
      <w:pPr>
        <w:jc w:val="both"/>
        <w:ind w:firstLine="720"/>
        <w:spacing w:after="0" w:line="260" w:lineRule="auto"/>
        <w:tabs>
          <w:tab w:leader="none" w:pos="1325" w:val="left"/>
        </w:tabs>
        <w:numPr>
          <w:ilvl w:val="2"/>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w:t>
      </w:r>
    </w:p>
    <w:p>
      <w:pPr>
        <w:sectPr>
          <w:pgSz w:w="12240" w:h="15840" w:orient="portrait"/>
          <w:cols w:equalWidth="0" w:num="1">
            <w:col w:w="9360"/>
          </w:cols>
          <w:pgMar w:left="1440" w:top="1361" w:right="1440" w:bottom="475" w:gutter="0" w:footer="0" w:header="0"/>
        </w:sectPr>
      </w:pPr>
    </w:p>
    <w:bookmarkStart w:id="132" w:name="page133"/>
    <w:bookmarkEnd w:id="132"/>
    <w:p>
      <w:pPr>
        <w:spacing w:after="0" w:line="273" w:lineRule="auto"/>
        <w:rPr>
          <w:sz w:val="20"/>
          <w:szCs w:val="20"/>
          <w:color w:val="auto"/>
        </w:rPr>
      </w:pPr>
      <w:r>
        <w:rPr>
          <w:rFonts w:ascii="Times New Roman" w:cs="Times New Roman" w:eastAsia="Times New Roman" w:hAnsi="Times New Roman"/>
          <w:sz w:val="24"/>
          <w:szCs w:val="24"/>
          <w:color w:val="auto"/>
        </w:rPr>
        <w:t>by the Company Group in recovering such Erroneously Awarded Compensation in accordance with the immediately preceding sentence.</w:t>
      </w:r>
    </w:p>
    <w:p>
      <w:pPr>
        <w:jc w:val="both"/>
        <w:ind w:firstLine="720"/>
        <w:spacing w:after="0" w:line="259" w:lineRule="auto"/>
        <w:tabs>
          <w:tab w:leader="none" w:pos="1325" w:val="left"/>
        </w:tabs>
        <w:numPr>
          <w:ilvl w:val="0"/>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anything herein to the contrary, the Company shall not be required to take the actions contemplated by Section 4(b) above if the following conditions are met and the Committee determines that recovery would be impracticable:</w:t>
      </w:r>
    </w:p>
    <w:p>
      <w:pPr>
        <w:sectPr>
          <w:pgSz w:w="12240" w:h="15840" w:orient="portrait"/>
          <w:cols w:equalWidth="0" w:num="1">
            <w:col w:w="9360"/>
          </w:cols>
          <w:pgMar w:left="1440" w:top="1301" w:right="1440" w:bottom="1440" w:gutter="0" w:footer="0" w:header="0"/>
        </w:sectPr>
      </w:pPr>
    </w:p>
    <w:bookmarkStart w:id="133" w:name="page134"/>
    <w:bookmarkEnd w:id="133"/>
    <w:p>
      <w:pPr>
        <w:spacing w:after="0" w:line="200" w:lineRule="exact"/>
        <w:rPr>
          <w:sz w:val="20"/>
          <w:szCs w:val="20"/>
          <w:color w:val="auto"/>
        </w:rPr>
      </w:pPr>
    </w:p>
    <w:p>
      <w:pPr>
        <w:spacing w:after="0" w:line="206" w:lineRule="exact"/>
        <w:rPr>
          <w:sz w:val="20"/>
          <w:szCs w:val="20"/>
          <w:color w:val="auto"/>
        </w:rPr>
      </w:pPr>
    </w:p>
    <w:p>
      <w:pPr>
        <w:jc w:val="both"/>
        <w:ind w:right="20" w:firstLine="1213"/>
        <w:spacing w:after="0" w:line="252" w:lineRule="auto"/>
        <w:tabs>
          <w:tab w:leader="none" w:pos="2045" w:val="left"/>
        </w:tabs>
        <w:numPr>
          <w:ilvl w:val="1"/>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229" w:lineRule="exact"/>
        <w:rPr>
          <w:rFonts w:ascii="Times New Roman" w:cs="Times New Roman" w:eastAsia="Times New Roman" w:hAnsi="Times New Roman"/>
          <w:sz w:val="24"/>
          <w:szCs w:val="24"/>
          <w:color w:val="auto"/>
        </w:rPr>
      </w:pPr>
    </w:p>
    <w:p>
      <w:pPr>
        <w:jc w:val="both"/>
        <w:ind w:right="20" w:firstLine="1147"/>
        <w:spacing w:after="0" w:line="249" w:lineRule="auto"/>
        <w:tabs>
          <w:tab w:leader="none" w:pos="2045" w:val="left"/>
        </w:tabs>
        <w:numPr>
          <w:ilvl w:val="1"/>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316" w:lineRule="exact"/>
        <w:rPr>
          <w:rFonts w:ascii="Times New Roman" w:cs="Times New Roman" w:eastAsia="Times New Roman" w:hAnsi="Times New Roman"/>
          <w:sz w:val="24"/>
          <w:szCs w:val="24"/>
          <w:color w:val="auto"/>
        </w:rPr>
      </w:pPr>
    </w:p>
    <w:p>
      <w:pPr>
        <w:jc w:val="both"/>
        <w:ind w:right="20" w:firstLine="1080"/>
        <w:spacing w:after="0" w:line="259" w:lineRule="auto"/>
        <w:tabs>
          <w:tab w:leader="none" w:pos="2045" w:val="left"/>
        </w:tabs>
        <w:numPr>
          <w:ilvl w:val="1"/>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215" w:lineRule="exact"/>
        <w:rPr>
          <w:rFonts w:ascii="Times New Roman" w:cs="Times New Roman" w:eastAsia="Times New Roman" w:hAnsi="Times New Roman"/>
          <w:sz w:val="24"/>
          <w:szCs w:val="24"/>
          <w:color w:val="auto"/>
        </w:rPr>
      </w:pPr>
    </w:p>
    <w:p>
      <w:pPr>
        <w:jc w:val="both"/>
        <w:ind w:right="20"/>
        <w:spacing w:after="0" w:line="260" w:lineRule="auto"/>
        <w:tabs>
          <w:tab w:leader="none" w:pos="605"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Reporting and Disclosure</w:t>
      </w:r>
      <w:r>
        <w:rPr>
          <w:rFonts w:ascii="Times New Roman" w:cs="Times New Roman" w:eastAsia="Times New Roman" w:hAnsi="Times New Roman"/>
          <w:sz w:val="24"/>
          <w:szCs w:val="24"/>
          <w:color w:val="auto"/>
        </w:rPr>
        <w:t>. The Company shall file all disclosures with respect to this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Policy in accordance with the requirement of the Federal securities laws, including the disclosure required by the applicable SEC filings.</w:t>
      </w:r>
    </w:p>
    <w:p>
      <w:pPr>
        <w:spacing w:after="0" w:line="217" w:lineRule="exact"/>
        <w:rPr>
          <w:rFonts w:ascii="Times New Roman" w:cs="Times New Roman" w:eastAsia="Times New Roman" w:hAnsi="Times New Roman"/>
          <w:sz w:val="24"/>
          <w:szCs w:val="24"/>
          <w:color w:val="auto"/>
        </w:rPr>
      </w:pPr>
    </w:p>
    <w:p>
      <w:pPr>
        <w:jc w:val="both"/>
        <w:spacing w:after="0" w:line="242" w:lineRule="auto"/>
        <w:tabs>
          <w:tab w:leader="none" w:pos="605"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Indemnification Prohibition</w:t>
      </w:r>
      <w:r>
        <w:rPr>
          <w:rFonts w:ascii="Times New Roman" w:cs="Times New Roman" w:eastAsia="Times New Roman" w:hAnsi="Times New Roman"/>
          <w:sz w:val="24"/>
          <w:szCs w:val="24"/>
          <w:color w:val="auto"/>
        </w:rPr>
        <w:t>. No member of the Company Group shall be permitted to</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indemnify any Executive Officer against (i) the loss of any Erroneously Awarded Compensation that is repaid, returned or recovered pursuant to the terms of this Policy, or (ii) any claims relating to the Company Group’s enforcement of its rights under this Policy, in either case, where such indemnity is otherwise prohibited by applicable law or the applicable listing standards. Further, no member of the Company Group shall enter into any agreement that exempts any Incentive- based Compensation from the application of this Policy or that waives the Company Group’s right to recovery of any Erroneously Awarded Compensation and this Policy shall supersede any such agreement (whether entered into before, on or after the Effective Date). Subject to compliance with applicable law and the applicable listing standards, the foregoing limitation on indemnification shall not obviate, amend or otherwise supersede any rights to indemnification to which an Executive Officer may be entitled under the Company’s organizational certificate or by laws, as a matter of law, individual indemnification agreement or contract or otherwise, or any other power or obligation that any member of the Company Group may have to indemnify such Executive Officer or defend or hold them harmless.</w:t>
      </w:r>
    </w:p>
    <w:p>
      <w:pPr>
        <w:spacing w:after="0" w:line="251" w:lineRule="exact"/>
        <w:rPr>
          <w:rFonts w:ascii="Times New Roman" w:cs="Times New Roman" w:eastAsia="Times New Roman" w:hAnsi="Times New Roman"/>
          <w:sz w:val="24"/>
          <w:szCs w:val="24"/>
          <w:color w:val="auto"/>
        </w:rPr>
      </w:pPr>
    </w:p>
    <w:p>
      <w:pPr>
        <w:jc w:val="both"/>
        <w:ind w:right="20"/>
        <w:spacing w:after="0" w:line="253" w:lineRule="auto"/>
        <w:tabs>
          <w:tab w:leader="none" w:pos="605"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Interpretation</w:t>
      </w:r>
      <w:r>
        <w:rPr>
          <w:rFonts w:ascii="Times New Roman" w:cs="Times New Roman" w:eastAsia="Times New Roman" w:hAnsi="Times New Roman"/>
          <w:sz w:val="24"/>
          <w:szCs w:val="24"/>
          <w:color w:val="auto"/>
        </w:rPr>
        <w:t>. The Committee is authorized to interpret and construe this Policy and to</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make all determinations necessary, appropriate, or advisable for the administration of this Policy. This Policy shall be binding and enforceable against all Executive Officers and their beneficiaries, heirs, executors or other legal representatives.</w:t>
      </w:r>
    </w:p>
    <w:p>
      <w:pPr>
        <w:spacing w:after="0" w:line="225" w:lineRule="exact"/>
        <w:rPr>
          <w:rFonts w:ascii="Times New Roman" w:cs="Times New Roman" w:eastAsia="Times New Roman" w:hAnsi="Times New Roman"/>
          <w:sz w:val="24"/>
          <w:szCs w:val="24"/>
          <w:color w:val="auto"/>
        </w:rPr>
      </w:pPr>
    </w:p>
    <w:p>
      <w:pPr>
        <w:ind w:left="720" w:hanging="720"/>
        <w:spacing w:after="0"/>
        <w:tabs>
          <w:tab w:leader="none" w:pos="720"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Effective Date</w:t>
      </w:r>
      <w:r>
        <w:rPr>
          <w:rFonts w:ascii="Times New Roman" w:cs="Times New Roman" w:eastAsia="Times New Roman" w:hAnsi="Times New Roman"/>
          <w:sz w:val="24"/>
          <w:szCs w:val="24"/>
          <w:color w:val="auto"/>
        </w:rPr>
        <w:t>. This Policy shall be effective as of the Effective Date.</w:t>
      </w:r>
    </w:p>
    <w:p>
      <w:pPr>
        <w:spacing w:after="0" w:line="285" w:lineRule="exact"/>
        <w:rPr>
          <w:rFonts w:ascii="Times New Roman" w:cs="Times New Roman" w:eastAsia="Times New Roman" w:hAnsi="Times New Roman"/>
          <w:sz w:val="24"/>
          <w:szCs w:val="24"/>
          <w:color w:val="auto"/>
        </w:rPr>
      </w:pPr>
    </w:p>
    <w:p>
      <w:pPr>
        <w:jc w:val="both"/>
        <w:spacing w:after="0" w:line="260" w:lineRule="auto"/>
        <w:tabs>
          <w:tab w:leader="none" w:pos="605"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Amendment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Termination</w:t>
      </w:r>
      <w:r>
        <w:rPr>
          <w:rFonts w:ascii="Times New Roman" w:cs="Times New Roman" w:eastAsia="Times New Roman" w:hAnsi="Times New Roman"/>
          <w:sz w:val="24"/>
          <w:szCs w:val="24"/>
          <w:color w:val="auto"/>
        </w:rPr>
        <w:t>. The Committee may amend this Policy from time to time in its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discretion and shall amend this Policy as it deems necessary, including as and when it determines that it is legally required by any Federal securities laws, SEC rules or the rules of any</w:t>
      </w:r>
    </w:p>
    <w:p>
      <w:pPr>
        <w:sectPr>
          <w:pgSz w:w="12240" w:h="15840" w:orient="portrait"/>
          <w:cols w:equalWidth="0" w:num="1">
            <w:col w:w="9380"/>
          </w:cols>
          <w:pgMar w:left="1440" w:top="1440" w:right="1420" w:bottom="795" w:gutter="0" w:footer="0" w:header="0"/>
        </w:sectPr>
      </w:pPr>
    </w:p>
    <w:bookmarkStart w:id="134" w:name="page135"/>
    <w:bookmarkEnd w:id="134"/>
    <w:p>
      <w:pPr>
        <w:jc w:val="both"/>
        <w:spacing w:after="0" w:line="246" w:lineRule="auto"/>
        <w:rPr>
          <w:sz w:val="20"/>
          <w:szCs w:val="20"/>
          <w:color w:val="auto"/>
        </w:rPr>
      </w:pPr>
      <w:r>
        <w:rPr>
          <w:rFonts w:ascii="Times New Roman" w:cs="Times New Roman" w:eastAsia="Times New Roman" w:hAnsi="Times New Roman"/>
          <w:sz w:val="24"/>
          <w:szCs w:val="24"/>
          <w:color w:val="auto"/>
        </w:rPr>
        <w:t>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w:t>
      </w:r>
    </w:p>
    <w:p>
      <w:pPr>
        <w:spacing w:after="0" w:line="234" w:lineRule="exact"/>
        <w:rPr>
          <w:sz w:val="20"/>
          <w:szCs w:val="20"/>
          <w:color w:val="auto"/>
        </w:rPr>
      </w:pPr>
    </w:p>
    <w:p>
      <w:pPr>
        <w:jc w:val="both"/>
        <w:spacing w:after="0" w:line="243" w:lineRule="auto"/>
        <w:tabs>
          <w:tab w:leader="none" w:pos="605" w:val="left"/>
        </w:tabs>
        <w:numPr>
          <w:ilvl w:val="0"/>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Other Recoupment Rights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No Additional Payments</w:t>
      </w:r>
      <w:r>
        <w:rPr>
          <w:rFonts w:ascii="Times New Roman" w:cs="Times New Roman" w:eastAsia="Times New Roman" w:hAnsi="Times New Roman"/>
          <w:sz w:val="24"/>
          <w:szCs w:val="24"/>
          <w:color w:val="auto"/>
        </w:rPr>
        <w:t>. The Committee intends that this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Policy will be applied to the fullest extent of the law. This Policy shall be incorporated by reference into and shall apply to all incentive, bonus, equity, equity-based and compensation plans, agreements, and awards outstanding as of the Effective Date or entered into on or after the Effective Date.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spacing w:after="0" w:line="244" w:lineRule="exact"/>
        <w:rPr>
          <w:rFonts w:ascii="Times New Roman" w:cs="Times New Roman" w:eastAsia="Times New Roman" w:hAnsi="Times New Roman"/>
          <w:sz w:val="24"/>
          <w:szCs w:val="24"/>
          <w:color w:val="auto"/>
        </w:rPr>
      </w:pPr>
    </w:p>
    <w:p>
      <w:pPr>
        <w:jc w:val="both"/>
        <w:spacing w:after="0" w:line="253" w:lineRule="auto"/>
        <w:tabs>
          <w:tab w:leader="none" w:pos="605" w:val="left"/>
        </w:tabs>
        <w:numPr>
          <w:ilvl w:val="0"/>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Entire Agreement. </w:t>
      </w:r>
      <w:r>
        <w:rPr>
          <w:rFonts w:ascii="Times New Roman" w:cs="Times New Roman" w:eastAsia="Times New Roman" w:hAnsi="Times New Roman"/>
          <w:sz w:val="24"/>
          <w:szCs w:val="24"/>
          <w:color w:val="auto"/>
        </w:rPr>
        <w:t>This Policy supersedes, replaces and merges any and all previous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agreements and understandings regarding the Company’s policy on the recovery of compensation, and this Policy constitutes the entire agreement between the Company and the Executive Officers with respect to such terms and conditions.</w:t>
      </w:r>
    </w:p>
    <w:p>
      <w:pPr>
        <w:spacing w:after="0" w:line="216" w:lineRule="exact"/>
        <w:rPr>
          <w:rFonts w:ascii="Times New Roman" w:cs="Times New Roman" w:eastAsia="Times New Roman" w:hAnsi="Times New Roman"/>
          <w:sz w:val="24"/>
          <w:szCs w:val="24"/>
          <w:color w:val="auto"/>
        </w:rPr>
      </w:pPr>
    </w:p>
    <w:p>
      <w:pPr>
        <w:spacing w:after="0" w:line="281" w:lineRule="auto"/>
        <w:tabs>
          <w:tab w:leader="none" w:pos="605" w:val="left"/>
        </w:tabs>
        <w:numPr>
          <w:ilvl w:val="0"/>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Successors</w:t>
      </w:r>
      <w:r>
        <w:rPr>
          <w:rFonts w:ascii="Times New Roman" w:cs="Times New Roman" w:eastAsia="Times New Roman" w:hAnsi="Times New Roman"/>
          <w:sz w:val="24"/>
          <w:szCs w:val="24"/>
          <w:color w:val="auto"/>
        </w:rPr>
        <w:t>. This Policy shall be binding and enforceable against all Executive Officers and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their beneficiaries, heirs, executors, administrators or other legal representatives.</w:t>
      </w:r>
    </w:p>
    <w:p>
      <w:pPr>
        <w:spacing w:after="0" w:line="149" w:lineRule="exact"/>
        <w:rPr>
          <w:rFonts w:ascii="Times New Roman" w:cs="Times New Roman" w:eastAsia="Times New Roman" w:hAnsi="Times New Roman"/>
          <w:sz w:val="24"/>
          <w:szCs w:val="24"/>
          <w:color w:val="auto"/>
        </w:rPr>
      </w:pPr>
    </w:p>
    <w:p>
      <w:pPr>
        <w:ind w:left="4620" w:hanging="712"/>
        <w:spacing w:after="0"/>
        <w:tabs>
          <w:tab w:leader="none" w:pos="4620" w:val="left"/>
        </w:tabs>
        <w:numPr>
          <w:ilvl w:val="1"/>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p>
    <w:sectPr>
      <w:pgSz w:w="12240" w:h="15840" w:orient="portrait"/>
      <w:cols w:equalWidth="0" w:num="1">
        <w:col w:w="9360"/>
      </w:cols>
      <w:pgMar w:left="1440" w:top="1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4"/>
      <w:numFmt w:val="bullet"/>
      <w:start w:val="1"/>
    </w:lvl>
  </w:abstractNum>
  <w:abstractNum w:abstractNumId="1">
    <w:nsid w:val="2463B9EA"/>
    <w:multiLevelType w:val="hybridMultilevel"/>
    <w:lvl w:ilvl="0">
      <w:lvlJc w:val="left"/>
      <w:lvlText w:val="%5"/>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amp;"/>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lowerRoman"/>
      <w:start w:val="7"/>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lowerRoman"/>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2"/>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decimal"/>
      <w:start w:val="1"/>
    </w:lvl>
    <w:lvl w:ilvl="1">
      <w:lvlJc w:val="left"/>
      <w:lvlText w:val="(%2)"/>
      <w:numFmt w:val="lowerLetter"/>
      <w:start w:val="1"/>
    </w:lvl>
  </w:abstractNum>
  <w:abstractNum w:abstractNumId="35">
    <w:nsid w:val="649BB77C"/>
    <w:multiLevelType w:val="hybridMultilevel"/>
    <w:lvl w:ilvl="0">
      <w:lvlJc w:val="left"/>
      <w:lvlText w:val="%1"/>
      <w:numFmt w:val="decimal"/>
      <w:start w:val="1"/>
    </w:lvl>
    <w:lvl w:ilvl="1">
      <w:lvlJc w:val="left"/>
      <w:lvlText w:val="(%2)"/>
      <w:numFmt w:val="lowerLetter"/>
      <w:start w:val="5"/>
    </w:lvl>
  </w:abstractNum>
  <w:abstractNum w:abstractNumId="36">
    <w:nsid w:val="275AC794"/>
    <w:multiLevelType w:val="hybridMultilevel"/>
    <w:lvl w:ilvl="0">
      <w:lvlJc w:val="left"/>
      <w:lvlText w:val="%1."/>
      <w:numFmt w:val="decimal"/>
      <w:start w:val="3"/>
    </w:lvl>
    <w:lvl w:ilvl="1">
      <w:lvlJc w:val="left"/>
      <w:lvlText w:val="%2"/>
      <w:numFmt w:val="lowerLetter"/>
      <w:start w:val="1"/>
    </w:lvl>
  </w:abstractNum>
  <w:abstractNum w:abstractNumId="37">
    <w:nsid w:val="39386575"/>
    <w:multiLevelType w:val="hybridMultilevel"/>
    <w:lvl w:ilvl="0">
      <w:lvlJc w:val="left"/>
      <w:lvlText w:val="(%1)"/>
      <w:numFmt w:val="decimal"/>
      <w:start w:val="3"/>
    </w:lvl>
  </w:abstractNum>
  <w:abstractNum w:abstractNumId="38">
    <w:nsid w:val="1CF10FD8"/>
    <w:multiLevelType w:val="hybridMultilevel"/>
    <w:lvl w:ilvl="0">
      <w:lvlJc w:val="left"/>
      <w:lvlText w:val="%1."/>
      <w:numFmt w:val="decimal"/>
      <w:start w:val="5"/>
    </w:lvl>
    <w:lvl w:ilvl="1">
      <w:lvlJc w:val="left"/>
      <w:lvlText w:val="%2"/>
      <w:numFmt w:val="lowerLetter"/>
      <w:start w:val="1"/>
    </w:lvl>
  </w:abstractNum>
  <w:abstractNum w:abstractNumId="39">
    <w:nsid w:val="180115BE"/>
    <w:multiLevelType w:val="hybridMultilevel"/>
    <w:lvl w:ilvl="0">
      <w:lvlJc w:val="left"/>
      <w:lvlText w:val="%1."/>
      <w:numFmt w:val="decimal"/>
      <w:start w:val="4"/>
    </w:lvl>
    <w:lvl w:ilvl="1">
      <w:lvlJc w:val="left"/>
      <w:lvlText w:val="%2"/>
      <w:numFmt w:val="lowerLetter"/>
      <w:start w:val="1"/>
    </w:lvl>
  </w:abstractNum>
  <w:abstractNum w:abstractNumId="40">
    <w:nsid w:val="235BA861"/>
    <w:multiLevelType w:val="hybridMultilevel"/>
    <w:lvl w:ilvl="0">
      <w:lvlJc w:val="left"/>
      <w:lvlText w:val="%1."/>
      <w:numFmt w:val="decimal"/>
      <w:start w:val="6"/>
    </w:lvl>
    <w:lvl w:ilvl="1">
      <w:lvlJc w:val="left"/>
      <w:lvlText w:val="(%2)"/>
      <w:numFmt w:val="lowerLetter"/>
      <w:start w:val="1"/>
    </w:lvl>
  </w:abstractNum>
  <w:abstractNum w:abstractNumId="41">
    <w:nsid w:val="47398C89"/>
    <w:multiLevelType w:val="hybridMultilevel"/>
    <w:lvl w:ilvl="0">
      <w:lvlJc w:val="left"/>
      <w:lvlText w:val="(%1)"/>
      <w:numFmt w:val="lowerLetter"/>
      <w:start w:val="5"/>
    </w:lvl>
  </w:abstractNum>
  <w:abstractNum w:abstractNumId="42">
    <w:nsid w:val="354FE9F9"/>
    <w:multiLevelType w:val="hybridMultilevel"/>
    <w:lvl w:ilvl="0">
      <w:lvlJc w:val="left"/>
      <w:lvlText w:val="%1."/>
      <w:numFmt w:val="decimal"/>
      <w:start w:val="7"/>
    </w:lvl>
  </w:abstractNum>
  <w:abstractNum w:abstractNumId="43">
    <w:nsid w:val="15B5AF5C"/>
    <w:multiLevelType w:val="hybridMultilevel"/>
    <w:lvl w:ilvl="0">
      <w:lvlJc w:val="left"/>
      <w:lvlText w:val="%1."/>
      <w:numFmt w:val="decimal"/>
      <w:start w:val="9"/>
    </w:lvl>
  </w:abstractNum>
  <w:abstractNum w:abstractNumId="44">
    <w:nsid w:val="741226BB"/>
    <w:multiLevelType w:val="hybridMultilevel"/>
    <w:lvl w:ilvl="0">
      <w:lvlJc w:val="left"/>
      <w:lvlText w:val="%1."/>
      <w:numFmt w:val="decimal"/>
      <w:start w:val="10"/>
    </w:lvl>
  </w:abstractNum>
  <w:abstractNum w:abstractNumId="45">
    <w:nsid w:val="D34B6A8"/>
    <w:multiLevelType w:val="hybridMultilevel"/>
    <w:lvl w:ilvl="0">
      <w:lvlJc w:val="left"/>
      <w:lvlText w:val="%1."/>
      <w:numFmt w:val="decimal"/>
      <w:start w:val="14"/>
    </w:lvl>
  </w:abstractNum>
  <w:abstractNum w:abstractNumId="46">
    <w:nsid w:val="10233C99"/>
    <w:multiLevelType w:val="hybridMultilevel"/>
    <w:lvl w:ilvl="0">
      <w:lvlJc w:val="left"/>
      <w:lvlText w:val="%1."/>
      <w:numFmt w:val="decimal"/>
      <w:start w:val="17"/>
    </w:lvl>
  </w:abstractNum>
  <w:abstractNum w:abstractNumId="47">
    <w:nsid w:val="3F6AB60F"/>
    <w:multiLevelType w:val="hybridMultilevel"/>
    <w:lvl w:ilvl="0">
      <w:lvlJc w:val="left"/>
      <w:lvlText w:val="%1."/>
      <w:numFmt w:val="decimal"/>
      <w:start w:val="18"/>
    </w:lvl>
  </w:abstractNum>
  <w:abstractNum w:abstractNumId="48">
    <w:nsid w:val="61574095"/>
    <w:multiLevelType w:val="hybridMultilevel"/>
    <w:lvl w:ilvl="0">
      <w:lvlJc w:val="left"/>
      <w:lvlText w:val="%1."/>
      <w:numFmt w:val="decimal"/>
      <w:start w:val="22"/>
    </w:lvl>
    <w:lvl w:ilvl="1">
      <w:lvlJc w:val="left"/>
      <w:lvlText w:val="(%2)"/>
      <w:numFmt w:val="lowerLetter"/>
      <w:start w:val="1"/>
    </w:lvl>
  </w:abstractNum>
  <w:abstractNum w:abstractNumId="49">
    <w:nsid w:val="7E0C57B1"/>
    <w:multiLevelType w:val="hybridMultilevel"/>
    <w:lvl w:ilvl="0">
      <w:lvlJc w:val="left"/>
      <w:lvlText w:val="%1"/>
      <w:numFmt w:val="decimal"/>
      <w:start w:val="1"/>
    </w:lvl>
    <w:lvl w:ilvl="1">
      <w:lvlJc w:val="left"/>
      <w:lvlText w:val="(%2)"/>
      <w:numFmt w:val="lowerLetter"/>
      <w:start w:val="3"/>
    </w:lvl>
  </w:abstractNum>
  <w:abstractNum w:abstractNumId="50">
    <w:nsid w:val="77AE35EB"/>
    <w:multiLevelType w:val="hybridMultilevel"/>
    <w:lvl w:ilvl="0">
      <w:lvlJc w:val="left"/>
      <w:lvlText w:val="%1"/>
      <w:numFmt w:val="decimal"/>
      <w:start w:val="363"/>
    </w:lvl>
    <w:lvl w:ilvl="1">
      <w:lvlJc w:val="left"/>
      <w:lvlText w:val="%2"/>
      <w:numFmt w:val="lowerLetter"/>
      <w:start w:val="1"/>
    </w:lvl>
  </w:abstractNum>
  <w:abstractNum w:abstractNumId="51">
    <w:nsid w:val="579BE4F1"/>
    <w:multiLevelType w:val="hybridMultilevel"/>
    <w:lvl w:ilvl="0">
      <w:lvlJc w:val="left"/>
      <w:lvlText w:val="%1."/>
      <w:numFmt w:val="decimal"/>
      <w:start w:val="25"/>
    </w:lvl>
    <w:lvl w:ilvl="1">
      <w:lvlJc w:val="left"/>
      <w:lvlText w:val="%2"/>
      <w:numFmt w:val="lowerLetter"/>
      <w:start w:val="1"/>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decimal"/>
      <w:start w:val="27"/>
    </w:lvl>
  </w:abstractNum>
  <w:abstractNum w:abstractNumId="54">
    <w:nsid w:val="2F305DEF"/>
    <w:multiLevelType w:val="hybridMultilevel"/>
    <w:lvl w:ilvl="0">
      <w:lvlJc w:val="left"/>
      <w:lvlText w:val="%1."/>
      <w:numFmt w:val="decimal"/>
      <w:start w:val="30"/>
    </w:lvl>
  </w:abstractNum>
  <w:abstractNum w:abstractNumId="55">
    <w:nsid w:val="25A70BF7"/>
    <w:multiLevelType w:val="hybridMultilevel"/>
    <w:lvl w:ilvl="0">
      <w:lvlJc w:val="left"/>
      <w:lvlText w:val="%1."/>
      <w:numFmt w:val="decimal"/>
      <w:start w:val="34"/>
    </w:lvl>
  </w:abstractNum>
  <w:abstractNum w:abstractNumId="56">
    <w:nsid w:val="1DBABF00"/>
    <w:multiLevelType w:val="hybridMultilevel"/>
    <w:lvl w:ilvl="0">
      <w:lvlJc w:val="left"/>
      <w:lvlText w:val="%1."/>
      <w:numFmt w:val="decimal"/>
      <w:start w:val="36"/>
    </w:lvl>
  </w:abstractNum>
  <w:abstractNum w:abstractNumId="57">
    <w:nsid w:val="4AD084E9"/>
    <w:multiLevelType w:val="hybridMultilevel"/>
    <w:lvl w:ilvl="0">
      <w:lvlJc w:val="left"/>
      <w:lvlText w:val="%1."/>
      <w:numFmt w:val="decimal"/>
      <w:start w:val="41"/>
    </w:lvl>
  </w:abstractNum>
  <w:abstractNum w:abstractNumId="58">
    <w:nsid w:val="1F48EAA1"/>
    <w:multiLevelType w:val="hybridMultilevel"/>
    <w:lvl w:ilvl="0">
      <w:lvlJc w:val="left"/>
      <w:lvlText w:val="%1."/>
      <w:numFmt w:val="decimal"/>
      <w:start w:val="43"/>
    </w:lvl>
  </w:abstractNum>
  <w:abstractNum w:abstractNumId="59">
    <w:nsid w:val="1381823A"/>
    <w:multiLevelType w:val="hybridMultilevel"/>
    <w:lvl w:ilvl="0">
      <w:lvlJc w:val="left"/>
      <w:lvlText w:val="(%1)"/>
      <w:numFmt w:val="decimal"/>
      <w:start w:val="1"/>
    </w:lvl>
    <w:lvl w:ilvl="1">
      <w:lvlJc w:val="left"/>
      <w:lvlText w:val="(%2)"/>
      <w:numFmt w:val="lowerLetter"/>
      <w:start w:val="1"/>
    </w:lvl>
  </w:abstractNum>
  <w:abstractNum w:abstractNumId="60">
    <w:nsid w:val="5DB70AE5"/>
    <w:multiLevelType w:val="hybridMultilevel"/>
    <w:lvl w:ilvl="0">
      <w:lvlJc w:val="left"/>
      <w:lvlText w:val="(%1)"/>
      <w:numFmt w:val="decimal"/>
      <w:start w:val="1"/>
    </w:lvl>
    <w:lvl w:ilvl="1">
      <w:lvlJc w:val="left"/>
      <w:lvlText w:val="(%2)"/>
      <w:numFmt w:val="lowerLetter"/>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lvl w:ilvl="1">
      <w:lvlJc w:val="left"/>
      <w:lvlText w:val="(%2)"/>
      <w:numFmt w:val="lowerLetter"/>
      <w:start w:val="34"/>
    </w:lvl>
    <w:lvl w:ilvl="2">
      <w:lvlJc w:val="left"/>
      <w:lvlText w:val="(%3)"/>
      <w:numFmt w:val="lowerLetter"/>
      <w:start w:val="1"/>
    </w:lvl>
    <w:lvl w:ilvl="3">
      <w:lvlJc w:val="left"/>
      <w:lvlText w:val="%4"/>
      <w:numFmt w:val="lowerLetter"/>
      <w:start w:val="1"/>
    </w:lvl>
  </w:abstractNum>
  <w:abstractNum w:abstractNumId="64">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5"/>
    </w:lvl>
  </w:abstractNum>
  <w:abstractNum w:abstractNumId="65">
    <w:nsid w:val="98A3148"/>
    <w:multiLevelType w:val="hybridMultilevel"/>
    <w:lvl w:ilvl="0">
      <w:lvlJc w:val="left"/>
      <w:lvlText w:val="(%1)"/>
      <w:numFmt w:val="lowerLetter"/>
      <w:start w:val="6"/>
    </w:lvl>
  </w:abstractNum>
  <w:abstractNum w:abstractNumId="66">
    <w:nsid w:val="799D0247"/>
    <w:multiLevelType w:val="hybridMultilevel"/>
    <w:lvl w:ilvl="0">
      <w:lvlJc w:val="left"/>
      <w:lvlText w:val="(%1)"/>
      <w:numFmt w:val="lowerLetter"/>
      <w:start w:val="8"/>
    </w:lvl>
  </w:abstractNum>
  <w:abstractNum w:abstractNumId="67">
    <w:nsid w:val="6B94764"/>
    <w:multiLevelType w:val="hybridMultilevel"/>
    <w:lvl w:ilvl="0">
      <w:lvlJc w:val="left"/>
      <w:lvlText w:val="(%1)"/>
      <w:numFmt w:val="lowerLetter"/>
      <w:start w:val="15"/>
    </w:lvl>
  </w:abstractNum>
  <w:abstractNum w:abstractNumId="68">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6"/>
    </w:lvl>
  </w:abstractNum>
  <w:abstractNum w:abstractNumId="69">
    <w:nsid w:val="168E121F"/>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abstractNum>
  <w:abstractNum w:abstractNumId="70">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1">
    <w:nsid w:val="661E3F1E"/>
    <w:multiLevelType w:val="hybridMultilevel"/>
    <w:lvl w:ilvl="0">
      <w:lvlJc w:val="left"/>
      <w:lvlText w:val="(%1)"/>
      <w:numFmt w:val="lowerLetter"/>
      <w:start w:val="4"/>
    </w:lvl>
  </w:abstractNum>
  <w:abstractNum w:abstractNumId="72">
    <w:nsid w:val="5DC79EA8"/>
    <w:multiLevelType w:val="hybridMultilevel"/>
    <w:lvl w:ilvl="0">
      <w:lvlJc w:val="left"/>
      <w:lvlText w:val="%1"/>
      <w:numFmt w:val="decimal"/>
      <w:start w:val="1"/>
    </w:lvl>
    <w:lvl w:ilvl="1">
      <w:lvlJc w:val="left"/>
      <w:lvlText w:val="(%2)"/>
      <w:numFmt w:val="lowerRoman"/>
      <w:start w:val="1"/>
    </w:lvl>
  </w:abstractNum>
  <w:abstractNum w:abstractNumId="73">
    <w:nsid w:val="540A471C"/>
    <w:multiLevelType w:val="hybridMultilevel"/>
    <w:lvl w:ilvl="0">
      <w:lvlJc w:val="left"/>
      <w:lvlText w:val="%1."/>
      <w:numFmt w:val="decimal"/>
      <w:start w:val="5"/>
    </w:lvl>
    <w:lvl w:ilvl="1">
      <w:lvlJc w:val="left"/>
      <w:lvlText w:val="%2"/>
      <w:numFmt w:val="lowerRoman"/>
      <w:start w:val="1"/>
    </w:lvl>
  </w:abstractNum>
  <w:abstractNum w:abstractNumId="74">
    <w:nsid w:val="7BD3EE7B"/>
    <w:multiLevelType w:val="hybridMultilevel"/>
    <w:lvl w:ilvl="0">
      <w:lvlJc w:val="left"/>
      <w:lvlText w:val="%1."/>
      <w:numFmt w:val="decimal"/>
      <w:start w:val="1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2024-04-26T15:52:24Z</dcterms:created>
  <dcterms:modified xsi:type="dcterms:W3CDTF">2024-04-26T15:52:24Z</dcterms:modified>
</cp:coreProperties>
</file>