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660" w:right="1620" w:hanging="3639"/>
        <w:spacing w:after="0" w:line="380"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27, 2024</w:t>
      </w:r>
    </w:p>
    <w:p>
      <w:pPr>
        <w:spacing w:after="0" w:line="236" w:lineRule="exact"/>
        <w:rPr>
          <w:sz w:val="24"/>
          <w:szCs w:val="24"/>
          <w:color w:val="auto"/>
        </w:rPr>
      </w:pPr>
    </w:p>
    <w:p>
      <w:pPr>
        <w:ind w:left="4200" w:right="1600" w:hanging="4179"/>
        <w:spacing w:after="0" w:line="396" w:lineRule="auto"/>
        <w:tabs>
          <w:tab w:leader="none" w:pos="4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001-41867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48"/>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7"/>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9"/>
        </w:trPr>
        <w:tc>
          <w:tcPr>
            <w:tcW w:w="412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8"/>
              </w:rPr>
              <w:t>530 Technology Drive</w:t>
            </w:r>
          </w:p>
        </w:tc>
        <w:tc>
          <w:tcPr>
            <w:tcW w:w="3020" w:type="dxa"/>
            <w:vAlign w:val="bottom"/>
          </w:tcPr>
          <w:p>
            <w:pPr>
              <w:spacing w:after="0"/>
              <w:rPr>
                <w:sz w:val="19"/>
                <w:szCs w:val="19"/>
                <w:color w:val="auto"/>
              </w:rPr>
            </w:pPr>
          </w:p>
        </w:tc>
      </w:tr>
      <w:tr>
        <w:trPr>
          <w:trHeight w:val="230"/>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020" w:type="dxa"/>
            <w:vAlign w:val="bottom"/>
          </w:tcPr>
          <w:p>
            <w:pPr>
              <w:spacing w:after="0"/>
              <w:rPr>
                <w:sz w:val="19"/>
                <w:szCs w:val="19"/>
                <w:color w:val="auto"/>
              </w:rPr>
            </w:pPr>
          </w:p>
        </w:tc>
      </w:tr>
      <w:tr>
        <w:trPr>
          <w:trHeight w:val="252"/>
        </w:trPr>
        <w:tc>
          <w:tcPr>
            <w:tcW w:w="4120" w:type="dxa"/>
            <w:vAlign w:val="bottom"/>
          </w:tcPr>
          <w:p>
            <w:pPr>
              <w:jc w:val="center"/>
              <w:ind w:right="1982"/>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3"/>
        </w:trPr>
        <w:tc>
          <w:tcPr>
            <w:tcW w:w="412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6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7, 2024, the registrant had 33,796,922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December 29, 2023 ("Form 10-K") and those described from time to time in our future reports with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spacing w:after="0" w:line="30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risks, requirements or costs when we bid on or negotiate a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as an eligible bidder for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joint venture partners and subcontractors,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managers and skilled employees and the impact of loss of key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to lease, acquire and maintain equipment necessary for our operations or a decline in the market value of owned equipment,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failing to satisfy their obligations to us or other parties or any inability to maintain subcontractor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bonding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and transactions with our prior owner, AECOM,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AECOM defaulting on its contractual obligations to us or under agreements in which we are beneficiary,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subcontractors and suppliers of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secure sufficient aggregates,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complete a merger or acquisition or to integrate an acquired company’s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our contact backlog,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our revenue and costs involves significant estimates, as does our use of the input method of revenue recognition based on costs incurred relative to total expected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impairments,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covenants under any current indebtedness, and future indebtedness we may incur,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sources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against, disruptions, failures or security breaches of, our information technology systems,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products price fluctuations, inflation and/or elevated interest rates,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environmental laws, compliance with immigration laws, and other regulatory matters, including changes in regulations and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U.S. economy,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conditions (including {as a result of the }2024 elections) and geopolitical risks, including those related to the war between Russia and Ukraine, the conflict in the Gaza strip and the conflict within the Red Sea Region.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1"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r>
      <w:tr>
        <w:trPr>
          <w:trHeight w:val="466"/>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9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91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60" w:type="dxa"/>
            <w:vAlign w:val="bottom"/>
            <w:gridSpan w:val="18"/>
          </w:tcPr>
          <w:p>
            <w:pPr>
              <w:jc w:val="right"/>
              <w:ind w:right="1960"/>
              <w:spacing w:after="0"/>
              <w:rPr>
                <w:sz w:val="20"/>
                <w:szCs w:val="20"/>
                <w:color w:val="auto"/>
              </w:rPr>
            </w:pPr>
            <w:r>
              <w:rPr>
                <w:rFonts w:ascii="Times New Roman" w:cs="Times New Roman" w:eastAsia="Times New Roman" w:hAnsi="Times New Roman"/>
                <w:sz w:val="18"/>
                <w:szCs w:val="18"/>
                <w:color w:val="auto"/>
              </w:rPr>
              <w:t>4</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25,962</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62,939</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53,516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54,178</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 current</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127,518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125,943</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13,582</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13,427</w:t>
            </w:r>
          </w:p>
        </w:tc>
        <w:tc>
          <w:tcPr>
            <w:tcW w:w="0" w:type="dxa"/>
            <w:vAlign w:val="bottom"/>
          </w:tcPr>
          <w:p>
            <w:pPr>
              <w:spacing w:after="0"/>
              <w:rPr>
                <w:sz w:val="1"/>
                <w:szCs w:val="1"/>
                <w:color w:val="auto"/>
              </w:rPr>
            </w:pPr>
          </w:p>
        </w:tc>
      </w:tr>
      <w:tr>
        <w:trPr>
          <w:trHeight w:val="348"/>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20" w:type="dxa"/>
            <w:vAlign w:val="bottom"/>
          </w:tcPr>
          <w:p>
            <w:pPr>
              <w:spacing w:after="0"/>
              <w:rPr>
                <w:sz w:val="24"/>
                <w:szCs w:val="2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221,189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257,458</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21,396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46,373</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9,244</w:t>
            </w: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 non-current</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49,159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48,316</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25,996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23,855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19,936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21,283</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1,749</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34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346,737</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69,441</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81,589</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97,627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115,785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29,400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26,911</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62,782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33,897</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18,926</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13,071</w:t>
            </w:r>
          </w:p>
        </w:tc>
        <w:tc>
          <w:tcPr>
            <w:tcW w:w="0" w:type="dxa"/>
            <w:vAlign w:val="bottom"/>
          </w:tcPr>
          <w:p>
            <w:pPr>
              <w:spacing w:after="0"/>
              <w:rPr>
                <w:sz w:val="1"/>
                <w:szCs w:val="1"/>
                <w:color w:val="auto"/>
              </w:rPr>
            </w:pPr>
          </w:p>
        </w:tc>
      </w:tr>
      <w:tr>
        <w:trPr>
          <w:trHeight w:val="348"/>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20" w:type="dxa"/>
            <w:vAlign w:val="bottom"/>
          </w:tcPr>
          <w:p>
            <w:pPr>
              <w:spacing w:after="0"/>
              <w:rPr>
                <w:sz w:val="24"/>
                <w:szCs w:val="2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278,176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271,253</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39,903</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29,627</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17,117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15,045</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 non-current</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3,215</w:t>
            </w: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4,718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15,488</w:t>
            </w: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5,850</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345,764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356,162</w:t>
            </w:r>
          </w:p>
        </w:tc>
        <w:tc>
          <w:tcPr>
            <w:tcW w:w="0" w:type="dxa"/>
            <w:vAlign w:val="bottom"/>
          </w:tcPr>
          <w:p>
            <w:pPr>
              <w:spacing w:after="0"/>
              <w:rPr>
                <w:sz w:val="1"/>
                <w:szCs w:val="1"/>
                <w:color w:val="auto"/>
              </w:rPr>
            </w:pPr>
          </w:p>
        </w:tc>
      </w:tr>
      <w:tr>
        <w:trPr>
          <w:trHeight w:val="35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$0.01 par value, 100,000,000 shares authorized as of September 27, 2024 and December 29, 2023; 33,738,739 and</w:t>
            </w:r>
          </w:p>
        </w:tc>
        <w:tc>
          <w:tcPr>
            <w:tcW w:w="220" w:type="dxa"/>
            <w:vAlign w:val="bottom"/>
          </w:tcPr>
          <w:p>
            <w:pPr>
              <w:spacing w:after="0"/>
              <w:rPr>
                <w:sz w:val="12"/>
                <w:szCs w:val="12"/>
                <w:color w:val="auto"/>
              </w:rPr>
            </w:pPr>
          </w:p>
        </w:tc>
        <w:tc>
          <w:tcPr>
            <w:tcW w:w="1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8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25,493,877 shares issued and outstanding as of September 27, 2024 and December 29, 2023, respectively</w:t>
            </w: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40,543</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24,445</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(deficit) earnings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(39,749 )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46,537</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0" w:type="dxa"/>
            <w:vAlign w:val="bottom"/>
          </w:tcPr>
          <w:p>
            <w:pPr>
              <w:spacing w:after="0"/>
              <w:rPr>
                <w:sz w:val="1"/>
                <w:szCs w:val="1"/>
                <w:color w:val="auto"/>
              </w:rPr>
            </w:pPr>
          </w:p>
        </w:tc>
      </w:tr>
      <w:tr>
        <w:trPr>
          <w:trHeight w:val="34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973</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70,490</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346,737</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426,652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-5099685</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-3977005</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-2716530</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-488315</wp:posOffset>
            </wp:positionV>
            <wp:extent cx="93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27,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4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0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29,</w:t>
            </w:r>
          </w:p>
        </w:tc>
      </w:tr>
      <w:tr>
        <w:trPr>
          <w:trHeight w:val="245"/>
        </w:trPr>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166,035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175,448</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376,684</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494,744</w:t>
            </w: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153,846</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158,436</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411,485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471,967</w:t>
            </w:r>
          </w:p>
        </w:tc>
      </w:tr>
      <w:tr>
        <w:trPr>
          <w:trHeight w:val="23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12,189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17,012</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(34,801 )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22,777</w:t>
            </w: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14,022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47,841</w:t>
            </w:r>
          </w:p>
        </w:tc>
      </w:tr>
      <w:tr>
        <w:trPr>
          <w:trHeight w:val="247"/>
        </w:trPr>
        <w:tc>
          <w:tcPr>
            <w:tcW w:w="5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ERP pre-implementation asset impairment and associated costs</w:t>
            </w: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15,708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14,022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47,841</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2,577</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9,570</w:t>
            </w: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16,896</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30,069</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31,749</w:t>
            </w:r>
          </w:p>
        </w:tc>
      </w:tr>
      <w:tr>
        <w:trPr>
          <w:trHeight w:val="236"/>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35,636</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(78,581 )</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16,255</w:t>
            </w: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r>
      <w:tr>
        <w:trPr>
          <w:trHeight w:val="247"/>
        </w:trPr>
        <w:tc>
          <w:tcPr>
            <w:tcW w:w="5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before income tax</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34,831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15,187</w:t>
            </w:r>
          </w:p>
        </w:tc>
      </w:tr>
      <w:tr>
        <w:trPr>
          <w:trHeight w:val="245"/>
        </w:trPr>
        <w:tc>
          <w:tcPr>
            <w:tcW w:w="5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34,831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(86,286 )</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15,187</w:t>
            </w:r>
          </w:p>
        </w:tc>
      </w:tr>
      <w:tr>
        <w:trPr>
          <w:trHeight w:val="237"/>
        </w:trPr>
        <w:tc>
          <w:tcPr>
            <w:tcW w:w="5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tc>
        <w:tc>
          <w:tcPr>
            <w:tcW w:w="1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Shimmick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34,567</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(86,286 )</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14,930</w:t>
            </w: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220" w:type="dxa"/>
            <w:vAlign w:val="bottom"/>
            <w:gridSpan w:val="2"/>
            <w:shd w:val="clear" w:color="auto" w:fill="CFF0FC"/>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Net (loss) income attributable to Shimmick Corporation per</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52"/>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41"/>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3"/>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-2433955</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-2433955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-2433955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-1490980</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-1490980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-1490980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-1173480</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-1173480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-1173480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-847725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-847725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-847725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93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28, 2024</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33,709,919</w:t>
            </w:r>
          </w:p>
        </w:tc>
        <w:tc>
          <w:tcPr>
            <w:tcW w:w="94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1"/>
              </w:rPr>
              <w:t>337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39,205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(38,185 )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(1,564 )</w:t>
            </w:r>
          </w:p>
        </w:tc>
        <w:tc>
          <w:tcPr>
            <w:tcW w:w="0" w:type="dxa"/>
            <w:vAlign w:val="bottom"/>
          </w:tcPr>
          <w:p>
            <w:pPr>
              <w:spacing w:after="0"/>
              <w:rPr>
                <w:sz w:val="1"/>
                <w:szCs w:val="1"/>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28,820</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33"/>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27, 2024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33,738,739</w:t>
            </w:r>
          </w:p>
        </w:tc>
        <w:tc>
          <w:tcPr>
            <w:tcW w:w="94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1"/>
              </w:rPr>
              <w:t>338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(39,749 )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-179705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-179705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-179705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-179705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-179705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9"/>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26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21,908,800</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1"/>
              </w:rPr>
              <w:t>219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4,392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29,446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(1,014 )</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33,043</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34,567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34,831</w:t>
            </w:r>
          </w:p>
        </w:tc>
        <w:tc>
          <w:tcPr>
            <w:tcW w:w="0" w:type="dxa"/>
            <w:vAlign w:val="bottom"/>
          </w:tcPr>
          <w:p>
            <w:pPr>
              <w:spacing w:after="0"/>
              <w:rPr>
                <w:sz w:val="1"/>
                <w:szCs w:val="1"/>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10,077</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21,918,877</w:t>
            </w:r>
          </w:p>
        </w:tc>
        <w:tc>
          <w:tcPr>
            <w:tcW w:w="1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1"/>
              </w:rPr>
              <w:t>219</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4,901</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64,013</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-770890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-770890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-770890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-770890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-25400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-8255</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26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16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226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20" w:type="dxa"/>
            <w:vAlign w:val="bottom"/>
          </w:tcPr>
          <w:p>
            <w:pPr>
              <w:spacing w:after="0"/>
              <w:rPr>
                <w:sz w:val="18"/>
                <w:szCs w:val="18"/>
                <w:color w:val="auto"/>
              </w:rPr>
            </w:pPr>
          </w:p>
        </w:tc>
        <w:tc>
          <w:tcPr>
            <w:tcW w:w="116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21"/>
                <w:szCs w:val="21"/>
                <w:color w:val="auto"/>
              </w:rPr>
            </w:pPr>
          </w:p>
        </w:tc>
        <w:tc>
          <w:tcPr>
            <w:tcW w:w="116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9"/>
        </w:trPr>
        <w:tc>
          <w:tcPr>
            <w:tcW w:w="32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25,493,877</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255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24,445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46,537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(86,286 )</w:t>
            </w:r>
          </w:p>
        </w:tc>
        <w:tc>
          <w:tcPr>
            <w:tcW w:w="12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(86,286 )</w:t>
            </w:r>
          </w:p>
        </w:tc>
        <w:tc>
          <w:tcPr>
            <w:tcW w:w="0" w:type="dxa"/>
            <w:vAlign w:val="bottom"/>
          </w:tcPr>
          <w:p>
            <w:pPr>
              <w:spacing w:after="0"/>
              <w:rPr>
                <w:sz w:val="1"/>
                <w:szCs w:val="1"/>
                <w:color w:val="auto"/>
              </w:rPr>
            </w:pPr>
          </w:p>
        </w:tc>
      </w:tr>
      <w:tr>
        <w:trPr>
          <w:trHeight w:val="23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8,244,862</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(174 )</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27, 2024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33,738,739</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338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40,543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(39,749 )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-1062355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-1062355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-1062355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-1062355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Paid-in-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0"/>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2022</w:t>
            </w:r>
          </w:p>
        </w:tc>
        <w:tc>
          <w:tcPr>
            <w:tcW w:w="1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21,908,800</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219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0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10,077</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(260 )</w:t>
            </w: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(260 )</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21,918,877</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219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64,013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-1062355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-1062355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-1062355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-1062355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tcBorders>
              <w:bottom w:val="single" w:sz="8" w:color="auto"/>
            </w:tcBorders>
          </w:tcPr>
          <w:p>
            <w:pPr>
              <w:spacing w:after="0"/>
              <w:rPr>
                <w:sz w:val="15"/>
                <w:szCs w:val="15"/>
                <w:color w:val="auto"/>
              </w:rPr>
            </w:pPr>
          </w:p>
        </w:tc>
      </w:tr>
      <w:tr>
        <w:trPr>
          <w:trHeight w:val="158"/>
        </w:trPr>
        <w:tc>
          <w:tcPr>
            <w:tcW w:w="6980" w:type="dxa"/>
            <w:vAlign w:val="bottom"/>
          </w:tcPr>
          <w:p>
            <w:pPr>
              <w:spacing w:after="0"/>
              <w:rPr>
                <w:sz w:val="13"/>
                <w:szCs w:val="13"/>
                <w:color w:val="auto"/>
              </w:rPr>
            </w:pPr>
          </w:p>
        </w:tc>
        <w:tc>
          <w:tcPr>
            <w:tcW w:w="14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jc w:val="right"/>
              <w:ind w:right="5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87"/>
        </w:trPr>
        <w:tc>
          <w:tcPr>
            <w:tcW w:w="6980" w:type="dxa"/>
            <w:vAlign w:val="bottom"/>
          </w:tcPr>
          <w:p>
            <w:pPr>
              <w:spacing w:after="0"/>
              <w:rPr>
                <w:sz w:val="16"/>
                <w:szCs w:val="16"/>
                <w:color w:val="auto"/>
              </w:rPr>
            </w:pPr>
          </w:p>
        </w:tc>
        <w:tc>
          <w:tcPr>
            <w:tcW w:w="14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6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176"/>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income</w:t>
            </w:r>
          </w:p>
        </w:tc>
        <w:tc>
          <w:tcPr>
            <w:tcW w:w="144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(86,286 )</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15,187</w:t>
            </w:r>
          </w:p>
        </w:tc>
      </w:tr>
      <w:tr>
        <w:trPr>
          <w:trHeight w:val="175"/>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3,304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11,646</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13,186</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in loss (earnings) of unconsolidated joint ventures</w:t>
            </w:r>
          </w:p>
        </w:tc>
        <w:tc>
          <w:tcPr>
            <w:tcW w:w="1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779</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(9,570 )</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Return on investment in unconsolidated joint ventures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610</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14,220</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ERP pre-implementation asset impairment</w:t>
            </w:r>
          </w:p>
        </w:tc>
        <w:tc>
          <w:tcPr>
            <w:tcW w:w="1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10,428</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 on sale of assets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(20,585 )</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(31,749 )</w:t>
            </w:r>
          </w:p>
        </w:tc>
      </w:tr>
      <w:tr>
        <w:trPr>
          <w:trHeight w:val="176"/>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1,892</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r>
      <w:tr>
        <w:trPr>
          <w:trHeight w:val="17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663</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(12,012 )</w:t>
            </w: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Contract assets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(2,418 )</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(10,134 )</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1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(12,149 )</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24,221</w:t>
            </w:r>
          </w:p>
        </w:tc>
      </w:tr>
      <w:tr>
        <w:trPr>
          <w:trHeight w:val="175"/>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Contract liabilities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(18,157 )</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(41,797 )</w:t>
            </w:r>
          </w:p>
        </w:tc>
      </w:tr>
      <w:tr>
        <w:trPr>
          <w:trHeight w:val="176"/>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1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2,489</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(2,073 )</w:t>
            </w:r>
          </w:p>
        </w:tc>
      </w:tr>
      <w:tr>
        <w:trPr>
          <w:trHeight w:val="176"/>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Accrued expenses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34,165</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(22,042 )</w:t>
            </w:r>
          </w:p>
        </w:tc>
      </w:tr>
      <w:tr>
        <w:trPr>
          <w:trHeight w:val="175"/>
        </w:trPr>
        <w:tc>
          <w:tcPr>
            <w:tcW w:w="6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7,436</w:t>
            </w: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(3,871 )</w:t>
            </w:r>
          </w:p>
        </w:tc>
      </w:tr>
      <w:tr>
        <w:trPr>
          <w:trHeight w:val="169"/>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(66,183 )</w:t>
            </w: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(64,776 )</w:t>
            </w: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5"/>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(9,963 )</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(6,140 )</w:t>
            </w:r>
          </w:p>
        </w:tc>
      </w:tr>
      <w:tr>
        <w:trPr>
          <w:trHeight w:val="176"/>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44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31,608</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34,983</w:t>
            </w:r>
          </w:p>
        </w:tc>
      </w:tr>
      <w:tr>
        <w:trPr>
          <w:trHeight w:val="176"/>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Unconsolidated joint venture equity contributions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(3,460 )</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(19,670 )</w:t>
            </w:r>
          </w:p>
        </w:tc>
      </w:tr>
      <w:tr>
        <w:trPr>
          <w:trHeight w:val="175"/>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of investment in unconsolidated joint ventures</w:t>
            </w:r>
          </w:p>
        </w:tc>
        <w:tc>
          <w:tcPr>
            <w:tcW w:w="1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204</w:t>
            </w: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3,980</w:t>
            </w:r>
          </w:p>
        </w:tc>
      </w:tr>
      <w:tr>
        <w:trPr>
          <w:trHeight w:val="169"/>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4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18,389</w:t>
            </w: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13,153</w:t>
            </w:r>
          </w:p>
        </w:tc>
      </w:tr>
      <w:tr>
        <w:trPr>
          <w:trHeight w:val="16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6"/>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borrowings on Credit Facility</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42,000</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(repayments of) borrowings on Revolving Credit Facility</w:t>
            </w:r>
          </w:p>
        </w:tc>
        <w:tc>
          <w:tcPr>
            <w:tcW w:w="1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(29,619 )</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33,722</w:t>
            </w:r>
          </w:p>
        </w:tc>
      </w:tr>
      <w:tr>
        <w:trPr>
          <w:trHeight w:val="175"/>
        </w:trPr>
        <w:tc>
          <w:tcPr>
            <w:tcW w:w="6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14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(1,924 )</w:t>
            </w:r>
          </w:p>
        </w:tc>
        <w:tc>
          <w:tcPr>
            <w:tcW w:w="1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(1,028 )</w:t>
            </w:r>
          </w:p>
        </w:tc>
      </w:tr>
      <w:tr>
        <w:trPr>
          <w:trHeight w:val="169"/>
        </w:trPr>
        <w:tc>
          <w:tcPr>
            <w:tcW w:w="6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10,457</w:t>
            </w: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32,694</w:t>
            </w:r>
          </w:p>
        </w:tc>
      </w:tr>
      <w:tr>
        <w:trPr>
          <w:trHeight w:val="16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4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(37,337 )</w:t>
            </w: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(18,929 )</w:t>
            </w:r>
          </w:p>
        </w:tc>
      </w:tr>
      <w:tr>
        <w:trPr>
          <w:trHeight w:val="175"/>
        </w:trPr>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63,910</w:t>
            </w: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82,085</w:t>
            </w:r>
          </w:p>
        </w:tc>
      </w:tr>
      <w:tr>
        <w:trPr>
          <w:trHeight w:val="209"/>
        </w:trPr>
        <w:tc>
          <w:tcPr>
            <w:tcW w:w="69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440" w:type="dxa"/>
            <w:vAlign w:val="bottom"/>
            <w:shd w:val="clear" w:color="auto" w:fill="CFF0FC"/>
          </w:tcPr>
          <w:p>
            <w:pPr>
              <w:jc w:val="right"/>
              <w:ind w:right="12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26,573</w:t>
            </w:r>
          </w:p>
        </w:tc>
        <w:tc>
          <w:tcPr>
            <w:tcW w:w="640" w:type="dxa"/>
            <w:vAlign w:val="bottom"/>
            <w:gridSpan w:val="2"/>
            <w:shd w:val="clear" w:color="auto" w:fill="CFF0FC"/>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63,156</w:t>
            </w:r>
          </w:p>
        </w:tc>
      </w:tr>
      <w:tr>
        <w:trPr>
          <w:trHeight w:val="156"/>
        </w:trPr>
        <w:tc>
          <w:tcPr>
            <w:tcW w:w="69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w:t>
            </w:r>
          </w:p>
        </w:tc>
        <w:tc>
          <w:tcPr>
            <w:tcW w:w="14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175"/>
        </w:trPr>
        <w:tc>
          <w:tcPr>
            <w:tcW w:w="6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17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4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25,962</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61,862</w:t>
            </w:r>
          </w:p>
        </w:tc>
      </w:tr>
      <w:tr>
        <w:trPr>
          <w:trHeight w:val="176"/>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c>
          <w:tcPr>
            <w:tcW w:w="1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1,294</w:t>
            </w:r>
          </w:p>
        </w:tc>
      </w:tr>
      <w:tr>
        <w:trPr>
          <w:trHeight w:val="169"/>
        </w:trPr>
        <w:tc>
          <w:tcPr>
            <w:tcW w:w="6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440" w:type="dxa"/>
            <w:vAlign w:val="bottom"/>
          </w:tcPr>
          <w:p>
            <w:pPr>
              <w:jc w:val="right"/>
              <w:ind w:right="12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26,573</w:t>
            </w:r>
          </w:p>
        </w:tc>
        <w:tc>
          <w:tcPr>
            <w:tcW w:w="6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63,156</w:t>
            </w:r>
          </w:p>
        </w:tc>
      </w:tr>
      <w:tr>
        <w:trPr>
          <w:trHeight w:val="20"/>
        </w:trPr>
        <w:tc>
          <w:tcPr>
            <w:tcW w:w="69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-2228215</wp:posOffset>
            </wp:positionV>
            <wp:extent cx="94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-1542415</wp:posOffset>
            </wp:positionV>
            <wp:extent cx="946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-1087755</wp:posOffset>
            </wp:positionV>
            <wp:extent cx="94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-616585</wp:posOffset>
            </wp:positionV>
            <wp:extent cx="94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-599440</wp:posOffset>
            </wp:positionV>
            <wp:extent cx="946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-144780</wp:posOffset>
            </wp:positionV>
            <wp:extent cx="946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Transactions and began operating as an independent company under new private ownership (the "AECOM Sale Transactions").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Shimmick Corporation and its subsidiaries (“Shimmick”, “we”, “our”, “us”, “its” or the “Company”), unless otherwise indicated. On September 12, 2023, the Company changed its name from SCCI National Holdings, Inc. to Shimmick Corporation.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16, 2023, Shimmick completed its initial public offering of 3,575,000 shares of common stock at a price to the public of $7.00 per share (the "IPO"). The net proceeds to Shimmick from the IPO were approximately $19 million after deducting underwriting discounts and commissions of $2 million and other offering expenses of $4 million. Shimmick’s common stock began trading on the NASDAQ Global Market on November 14,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interim financial statements are unaudited and should be read in conjunction with the audited consolidated financial statements and notes in our Annual Report on Form 10-K for the fiscal year ended December 29, 2023 ("Form 10-K"). Because of the seasonal nature of some of the Company's operations, the results of operations for the three and nine months ended September 27, 2024 are not necessarily indicative of the results of operations to be expected for the full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Presentation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prior period balances in the condensed consolidated balance sheets, statements of operations and statements of cash flows and accompanying notes have been combined, reclassified or rounded to conform to current period presentation. These changes had no impact on net (loss) income, cash flows, assets and liabilities, or equity previously reported.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 Basis of Presentation and Summary of Significant Accounting Policies of our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management to make estimates and assumptions that affect the reported amounts included in the condensed consolidated financial statements and accompanying notes thereto.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Accounting pronouncements not listed below were assessed and determined to be not applicable or are expected to have minimal impact on the condensed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9" w:name="page10"/>
    <w:bookmarkEnd w:id="9"/>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In November 2023, the FASB issued ASU 2023-07 to enhance disclosures of significant expense and segment profitability categories and amounts for reportable business segments. The amendment is effective in interim periods in the fiscal year beginning after December 15, 2024, with early adoption permitted. The Company is currently evaluating the provisions of the amendments and the impact on its future consolidated financial statements.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to improve disclosures and presentation requirements to the transparency of the income tax disclosures by requiring consistent categories and greater disaggregation of information in the rate reconciliation and income taxes paid disaggregated by jurisdiction. The amendment is effective in interim periods in the fiscal year beginning after December 15, 2024, with early adoption permitted. The Company is currently evaluating the provisions of the amendments and the impact on its future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Receivables and Contract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contract types: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3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Pr>
          <w:p>
            <w:pPr>
              <w:spacing w:after="0"/>
              <w:rPr>
                <w:sz w:val="20"/>
                <w:szCs w:val="20"/>
                <w:color w:val="auto"/>
              </w:rPr>
            </w:pPr>
          </w:p>
        </w:tc>
      </w:tr>
      <w:tr>
        <w:trPr>
          <w:trHeight w:val="25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7"/>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153,802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153,178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349,182</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440,015</w:t>
            </w:r>
          </w:p>
        </w:tc>
        <w:tc>
          <w:tcPr>
            <w:tcW w:w="100" w:type="dxa"/>
            <w:vAlign w:val="bottom"/>
            <w:shd w:val="clear" w:color="auto" w:fill="CFF0FC"/>
          </w:tcPr>
          <w:p>
            <w:pPr>
              <w:spacing w:after="0"/>
              <w:rPr>
                <w:sz w:val="20"/>
                <w:szCs w:val="20"/>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48,757</w:t>
            </w:r>
          </w:p>
        </w:tc>
        <w:tc>
          <w:tcPr>
            <w:tcW w:w="100" w:type="dxa"/>
            <w:vAlign w:val="bottom"/>
          </w:tcPr>
          <w:p>
            <w:pPr>
              <w:spacing w:after="0"/>
              <w:rPr>
                <w:sz w:val="20"/>
                <w:szCs w:val="20"/>
                <w:color w:val="auto"/>
              </w:rPr>
            </w:pPr>
          </w:p>
        </w:tc>
      </w:tr>
      <w:tr>
        <w:trPr>
          <w:trHeight w:val="247"/>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labor revenue</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376,684</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494,744</w:t>
            </w:r>
          </w:p>
        </w:tc>
        <w:tc>
          <w:tcPr>
            <w:tcW w:w="100" w:type="dxa"/>
            <w:vAlign w:val="bottom"/>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Projects started after the AECOM Sale Transactions ("Shimmick Projects") have focused on water infrastructure and other critical infrastructure. Projects that focus on foundation drilling are referred to as "Foundations Projects". Projects that started prior to consummation of the AECOM Sale Transactions are referred to as "Legacy Projects".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the Company’s revenue disaggregated by Shimmick Projects, Foundations Projects and Legacy Projects:</w:t>
      </w:r>
    </w:p>
    <w:p>
      <w:pPr>
        <w:spacing w:after="0" w:line="38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29,</w:t>
            </w:r>
          </w:p>
        </w:tc>
      </w:tr>
      <w:tr>
        <w:trPr>
          <w:trHeight w:val="25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Shimmick Projects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101,475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109,884</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275,457</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301,475</w:t>
            </w: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Foundations Projects</w:t>
            </w:r>
          </w:p>
        </w:tc>
        <w:tc>
          <w:tcPr>
            <w:tcW w:w="2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40,615</w:t>
            </w:r>
          </w:p>
        </w:tc>
      </w:tr>
      <w:tr>
        <w:trPr>
          <w:trHeight w:val="247"/>
        </w:trPr>
        <w:tc>
          <w:tcPr>
            <w:tcW w:w="3600" w:type="dxa"/>
            <w:vAlign w:val="bottom"/>
            <w:tcBorders>
              <w:bottom w:val="single" w:sz="8" w:color="CFF0FC"/>
            </w:tcBorders>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Legacy Projects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53,723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54,041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75,296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152,654</w:t>
            </w: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166,035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175,448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376,684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494,744</w:t>
            </w:r>
          </w:p>
        </w:tc>
      </w:tr>
      <w:tr>
        <w:trPr>
          <w:trHeight w:val="20"/>
        </w:trPr>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-187960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760" w:right="80" w:hanging="3"/>
        <w:spacing w:after="0" w:line="258" w:lineRule="auto"/>
        <w:tabs>
          <w:tab w:leader="none" w:pos="101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Legacy Projects revenue for the three and nine months ended September 27, 2024 reflects a $31 million increase to revenue as a result of the GGB Project settlement in which the Company will receive $97 million in cash and a contract change order for reduced scope of work of $6 million. See Note 12 – Subsequent Events for additional details. </w:t>
      </w:r>
      <w:r>
        <w:rPr>
          <w:rFonts w:ascii="Times New Roman" w:cs="Times New Roman" w:eastAsia="Times New Roman" w:hAnsi="Times New Roman"/>
          <w:sz w:val="18"/>
          <w:szCs w:val="18"/>
          <w:color w:val="000000"/>
        </w:rPr>
        <w:t>Legacy Projects revenue for the nine months ended September 27, 2024 also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reflects a reduction to revenue of $23 million recorded during the three months ended June 28, 2024 to write off previously recorded contract assets as a result of a settlement of a claim with the United States Army Corps of Engineers.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Remaining performance obligations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The Company had $777 million of remaining performance obligations yet to be satisfied as of September 27, 2024. Our remaining performance obligations have a weighted average life of 2.0 years as of September 27,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231F20"/>
        </w:rPr>
        <w:t>Contract Balances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6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current and non-current:</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127,518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125,943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1,575</w:t>
            </w: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Retainage receivable</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49,159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48,316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r>
      <w:tr>
        <w:trPr>
          <w:trHeight w:val="241"/>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assets</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176,677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174,259</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2,418</w:t>
            </w:r>
          </w:p>
        </w:tc>
      </w:tr>
      <w:tr>
        <w:trPr>
          <w:trHeight w:val="47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(42,998 )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(48,841 )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5,843</w:t>
            </w: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Forward loss reserve</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(54,629 )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(70,159 )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15,530</w:t>
            </w:r>
          </w:p>
        </w:tc>
      </w:tr>
      <w:tr>
        <w:trPr>
          <w:trHeight w:val="236"/>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(97,627 )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(119,000 )</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21,373</w:t>
            </w:r>
          </w:p>
        </w:tc>
      </w:tr>
      <w:tr>
        <w:trPr>
          <w:trHeight w:val="241"/>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79,050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55,259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23,791</w:t>
            </w:r>
          </w:p>
        </w:tc>
      </w:tr>
      <w:tr>
        <w:trPr>
          <w:trHeight w:val="20"/>
        </w:trPr>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231F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condensed consolidated balance sheets within “Contract assets, current,” “Contract assets, non-current,” “Contract liabilities, current" and “Contract liabilities, non-current." Costs and estimated earnings in excess of billings on uncompleted contracts consists of revenue recognized in excess of billings. Billings on uncompleted contracts in excess of costs and estimated earnings consists of billings in excess of revenue recognized. The Company recognized revenue </w:t>
      </w:r>
      <w:r>
        <w:rPr>
          <w:rFonts w:ascii="Times New Roman" w:cs="Times New Roman" w:eastAsia="Times New Roman" w:hAnsi="Times New Roman"/>
          <w:sz w:val="18"/>
          <w:szCs w:val="18"/>
          <w:color w:val="000000"/>
        </w:rPr>
        <w:t>of $41</w:t>
      </w:r>
      <w:r>
        <w:rPr>
          <w:rFonts w:ascii="Times New Roman" w:cs="Times New Roman" w:eastAsia="Times New Roman" w:hAnsi="Times New Roman"/>
          <w:sz w:val="18"/>
          <w:szCs w:val="18"/>
          <w:color w:val="231F20"/>
        </w:rPr>
        <w:t xml:space="preserve"> million during the nine months ended September 27, 2024 that was included in contract liabilities as of December 29, 2023.</w:t>
      </w:r>
    </w:p>
    <w:p>
      <w:pPr>
        <w:spacing w:after="0" w:line="26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4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5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gross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54,470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55,202</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(1,024 )</w:t>
            </w:r>
          </w:p>
        </w:tc>
      </w:tr>
      <w:tr>
        <w:trPr>
          <w:trHeight w:val="277"/>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53,516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946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94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1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Substantially all contract assets as of September 27, 2024 and December 29, 2023 are expected to be collected within the Company’s estimated operating cycle, except for retainage and claims pertaining to certain contracts. The Company’s operating cycle may extend beyond one year.</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The Company may take legal action if it and the customer cannot reach a mutually acceptable resolution.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p>
      <w:pPr>
        <w:sectPr>
          <w:pgSz w:w="11900" w:h="16838" w:orient="portrait"/>
          <w:cols w:equalWidth="0" w:num="1">
            <w:col w:w="11160"/>
          </w:cols>
          <w:pgMar w:left="320" w:top="835" w:right="419" w:bottom="1440" w:gutter="0" w:footer="0" w:header="0"/>
        </w:sectPr>
      </w:pPr>
    </w:p>
    <w:p>
      <w:pPr>
        <w:spacing w:after="0" w:line="237"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Accounts Receivable,</w:t>
      </w:r>
    </w:p>
    <w:p>
      <w:pPr>
        <w:spacing w:after="0" w:line="31"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8"/>
          <w:szCs w:val="18"/>
          <w:b w:val="1"/>
          <w:bCs w:val="1"/>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32486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As of 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5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As of December 29, 2023</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32486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Three Months Ended 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5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Three Months Ended September 29, 2023</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32486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Nine Months Ended September 27, 2024</w:t>
      </w:r>
    </w:p>
    <w:p>
      <w:pPr>
        <w:spacing w:after="0" w:line="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two</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-283210</wp:posOffset>
            </wp:positionV>
            <wp:extent cx="9340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18.6%</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324485</wp:posOffset>
            </wp:positionV>
            <wp:extent cx="9340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13.9%</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324485</wp:posOffset>
            </wp:positionV>
            <wp:extent cx="9340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w:t>
      </w:r>
    </w:p>
    <w:p>
      <w:pPr>
        <w:spacing w:after="0" w:line="211" w:lineRule="exact"/>
        <w:rPr>
          <w:sz w:val="20"/>
          <w:szCs w:val="20"/>
          <w:color w:val="auto"/>
        </w:rPr>
      </w:pPr>
    </w:p>
    <w:p>
      <w:pPr>
        <w:sectPr>
          <w:pgSz w:w="11900" w:h="16838" w:orient="portrait"/>
          <w:cols w:equalWidth="0" w:num="2">
            <w:col w:w="7240" w:space="720"/>
            <w:col w:w="3200"/>
          </w:cols>
          <w:pgMar w:left="320" w:top="835" w:right="419" w:bottom="1440" w:gutter="0" w:footer="0" w:header="0"/>
          <w:type w:val="continuous"/>
        </w:sectPr>
      </w:pPr>
    </w:p>
    <w:p>
      <w:pPr>
        <w:spacing w:after="0" w:line="75" w:lineRule="exact"/>
        <w:rPr>
          <w:sz w:val="20"/>
          <w:szCs w:val="20"/>
          <w:color w:val="auto"/>
        </w:rPr>
      </w:pPr>
    </w:p>
    <w:tbl>
      <w:tblPr>
        <w:tblLayout w:type="fixed"/>
        <w:tblInd w:w="2260" w:type="dxa"/>
        <w:tblCellMar>
          <w:top w:w="0" w:type="dxa"/>
          <w:left w:w="0" w:type="dxa"/>
          <w:bottom w:w="0" w:type="dxa"/>
          <w:right w:w="0" w:type="dxa"/>
        </w:tblCellMar>
      </w:tblPr>
      <w:tr>
        <w:trPr>
          <w:trHeight w:val="245"/>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29, 2023</w:t>
            </w:r>
          </w:p>
        </w:tc>
        <w:tc>
          <w:tcPr>
            <w:tcW w:w="2340" w:type="dxa"/>
            <w:vAlign w:val="bottom"/>
          </w:tcPr>
          <w:p>
            <w:pPr>
              <w:spacing w:after="0"/>
              <w:rPr>
                <w:sz w:val="21"/>
                <w:szCs w:val="21"/>
                <w:color w:val="auto"/>
              </w:rPr>
            </w:pPr>
          </w:p>
        </w:tc>
      </w:tr>
      <w:tr>
        <w:trPr>
          <w:trHeight w:val="25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34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15.5%</w:t>
            </w: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14.2%</w:t>
            </w:r>
          </w:p>
        </w:tc>
      </w:tr>
      <w:tr>
        <w:trPr>
          <w:trHeight w:val="24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three</w:t>
            </w:r>
          </w:p>
        </w:tc>
        <w:tc>
          <w:tcPr>
            <w:tcW w:w="234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Changes in contract estimates resulted in net increases in gross margin of $7 million for the three months ended September 27, 2024, primarily due to the favorable GGB Project settlement described in Note 12 - Subsequent Events, partially offset by increased forecasted cost to complete loss jobs. Changes in contract estimates resulted in net decreases in gross margin of $44 million for the nine months ended September 27, 2024, primarily due to the United States Army Corps of Engineers settlement and increased forecasted cost to complete loss jobs, partially offset by the GGB Project settlement.</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Changes in contract estimates resulted in net increases in gross margin of $5 million for the three months ended September 29, 2023, primarily due to a change in an outstanding claim. Changes in contract estimates resulted in net decreases in gross margin of $10 million for the nine months ended September 29, 2023, primarily due to increased forecasted costs to complete and an agreed upon contract settlement lower than previously estimated, partially offset by increases in gross margin on an outstanding claim.</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35" w:right="4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4. Joint Ventures and Variable Interest Entities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consolidated joint ventures 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260" w:type="dxa"/>
            <w:vAlign w:val="bottom"/>
          </w:tcPr>
          <w:p>
            <w:pPr>
              <w:spacing w:after="0"/>
              <w:rPr>
                <w:sz w:val="20"/>
                <w:szCs w:val="20"/>
                <w:color w:val="auto"/>
              </w:rPr>
            </w:pPr>
          </w:p>
        </w:tc>
        <w:tc>
          <w:tcPr>
            <w:tcW w:w="1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82,389</w:t>
            </w:r>
          </w:p>
        </w:tc>
        <w:tc>
          <w:tcPr>
            <w:tcW w:w="7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80" w:type="dxa"/>
            <w:vAlign w:val="bottom"/>
            <w:shd w:val="clear" w:color="auto" w:fill="CFF0FC"/>
          </w:tcPr>
          <w:p>
            <w:pPr>
              <w:spacing w:after="0"/>
              <w:rPr>
                <w:sz w:val="21"/>
                <w:szCs w:val="21"/>
                <w:color w:val="auto"/>
              </w:rPr>
            </w:pPr>
          </w:p>
        </w:tc>
      </w:tr>
      <w:tr>
        <w:trPr>
          <w:trHeight w:val="23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80" w:type="dxa"/>
            <w:vAlign w:val="bottom"/>
          </w:tcPr>
          <w:p>
            <w:pPr>
              <w:spacing w:after="0"/>
              <w:rPr>
                <w:sz w:val="20"/>
                <w:szCs w:val="20"/>
                <w:color w:val="auto"/>
              </w:rPr>
            </w:pPr>
          </w:p>
        </w:tc>
      </w:tr>
      <w:tr>
        <w:trPr>
          <w:trHeight w:val="281"/>
        </w:trPr>
        <w:tc>
          <w:tcPr>
            <w:tcW w:w="2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82,389</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74,129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80" w:type="dxa"/>
            <w:vAlign w:val="bottom"/>
          </w:tcPr>
          <w:p>
            <w:pPr>
              <w:spacing w:after="0"/>
              <w:rPr>
                <w:sz w:val="19"/>
                <w:szCs w:val="19"/>
                <w:color w:val="auto"/>
              </w:rPr>
            </w:pPr>
          </w:p>
        </w:tc>
      </w:tr>
      <w:tr>
        <w:trPr>
          <w:trHeight w:val="243"/>
        </w:trPr>
        <w:tc>
          <w:tcPr>
            <w:tcW w:w="2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76,352</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61,615</w:t>
            </w:r>
          </w:p>
        </w:tc>
        <w:tc>
          <w:tcPr>
            <w:tcW w:w="80" w:type="dxa"/>
            <w:vAlign w:val="bottom"/>
          </w:tcPr>
          <w:p>
            <w:pPr>
              <w:spacing w:after="0"/>
              <w:rPr>
                <w:sz w:val="20"/>
                <w:szCs w:val="20"/>
                <w:color w:val="auto"/>
              </w:rPr>
            </w:pPr>
          </w:p>
        </w:tc>
      </w:tr>
      <w:tr>
        <w:trPr>
          <w:trHeight w:val="20"/>
        </w:trPr>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9"/>
        </w:trPr>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7"/>
        </w:trPr>
        <w:tc>
          <w:tcPr>
            <w:tcW w:w="2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20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20"/>
                <w:szCs w:val="20"/>
                <w:color w:val="auto"/>
              </w:rPr>
            </w:pPr>
          </w:p>
        </w:tc>
      </w:tr>
      <w:tr>
        <w:trPr>
          <w:trHeight w:val="250"/>
        </w:trPr>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3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7"/>
        </w:trPr>
        <w:tc>
          <w:tcPr>
            <w:tcW w:w="25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20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2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CCECFF"/>
            </w:tcBorders>
            <w:shd w:val="clear" w:color="auto" w:fill="CCECFF"/>
          </w:tcPr>
          <w:p>
            <w:pPr>
              <w:spacing w:after="0"/>
              <w:rPr>
                <w:sz w:val="24"/>
                <w:szCs w:val="24"/>
                <w:color w:val="auto"/>
              </w:rPr>
            </w:pPr>
          </w:p>
        </w:tc>
        <w:tc>
          <w:tcPr>
            <w:tcW w:w="480" w:type="dxa"/>
            <w:vAlign w:val="bottom"/>
            <w:tcBorders>
              <w:bottom w:val="single" w:sz="8" w:color="auto"/>
            </w:tcBorders>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22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-1757045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-1739265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-1757045</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-1739265</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-1422400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-1422400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assets of the Company’s consolidated joint ventures are restricted for use only by the particular joint venture and are not available for the general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unconsolidated joint ventures, as derived from their financial statements, is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260" w:type="dxa"/>
            <w:vAlign w:val="bottom"/>
          </w:tcPr>
          <w:p>
            <w:pPr>
              <w:spacing w:after="0"/>
              <w:rPr>
                <w:sz w:val="20"/>
                <w:szCs w:val="20"/>
                <w:color w:val="auto"/>
              </w:rPr>
            </w:pPr>
          </w:p>
        </w:tc>
        <w:tc>
          <w:tcPr>
            <w:tcW w:w="1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tcBorders>
              <w:lef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84,541</w:t>
            </w: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74,498</w:t>
            </w:r>
          </w:p>
        </w:tc>
        <w:tc>
          <w:tcPr>
            <w:tcW w:w="80" w:type="dxa"/>
            <w:vAlign w:val="bottom"/>
            <w:shd w:val="clear" w:color="auto" w:fill="CFF0FC"/>
          </w:tcPr>
          <w:p>
            <w:pPr>
              <w:spacing w:after="0"/>
              <w:rPr>
                <w:sz w:val="21"/>
                <w:szCs w:val="2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80" w:type="dxa"/>
            <w:vAlign w:val="bottom"/>
          </w:tcPr>
          <w:p>
            <w:pPr>
              <w:spacing w:after="0"/>
              <w:rPr>
                <w:sz w:val="20"/>
                <w:szCs w:val="20"/>
                <w:color w:val="auto"/>
              </w:rPr>
            </w:pPr>
          </w:p>
        </w:tc>
      </w:tr>
      <w:tr>
        <w:trPr>
          <w:trHeight w:val="281"/>
        </w:trPr>
        <w:tc>
          <w:tcPr>
            <w:tcW w:w="2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left w:val="single" w:sz="8" w:color="CFF0FC"/>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84,947</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Pr>
          <w:p>
            <w:pPr>
              <w:spacing w:after="0"/>
              <w:rPr>
                <w:sz w:val="19"/>
                <w:szCs w:val="19"/>
                <w:color w:val="auto"/>
              </w:rPr>
            </w:pPr>
          </w:p>
        </w:tc>
      </w:tr>
      <w:tr>
        <w:trPr>
          <w:trHeight w:val="281"/>
        </w:trPr>
        <w:tc>
          <w:tcPr>
            <w:tcW w:w="2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left w:val="single" w:sz="8" w:color="CFF0FC"/>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Borders>
              <w:bottom w:val="single" w:sz="8" w:color="CFF0FC"/>
            </w:tcBorders>
            <w:shd w:val="clear" w:color="auto" w:fill="CFF0FC"/>
          </w:tcPr>
          <w:p>
            <w:pPr>
              <w:spacing w:after="0"/>
              <w:rPr>
                <w:sz w:val="24"/>
                <w:szCs w:val="24"/>
                <w:color w:val="auto"/>
              </w:rPr>
            </w:pPr>
          </w:p>
        </w:tc>
      </w:tr>
      <w:tr>
        <w:trPr>
          <w:trHeight w:val="865"/>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7"/>
        </w:trPr>
        <w:tc>
          <w:tcPr>
            <w:tcW w:w="2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1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80" w:type="dxa"/>
            <w:vAlign w:val="bottom"/>
          </w:tcPr>
          <w:p>
            <w:pPr>
              <w:spacing w:after="0"/>
              <w:rPr>
                <w:sz w:val="18"/>
                <w:szCs w:val="18"/>
                <w:color w:val="auto"/>
              </w:rPr>
            </w:pPr>
          </w:p>
        </w:tc>
      </w:tr>
      <w:tr>
        <w:trPr>
          <w:trHeight w:val="238"/>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22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20"/>
                <w:szCs w:val="20"/>
                <w:color w:val="auto"/>
              </w:rPr>
            </w:pPr>
          </w:p>
        </w:tc>
      </w:tr>
      <w:tr>
        <w:trPr>
          <w:trHeight w:val="250"/>
        </w:trPr>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3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21,393</w:t>
            </w:r>
          </w:p>
        </w:tc>
        <w:tc>
          <w:tcPr>
            <w:tcW w:w="220" w:type="dxa"/>
            <w:vAlign w:val="bottom"/>
            <w:shd w:val="clear" w:color="auto" w:fill="CFF0FC"/>
          </w:tcPr>
          <w:p>
            <w:pPr>
              <w:spacing w:after="0"/>
              <w:rPr>
                <w:sz w:val="21"/>
                <w:szCs w:val="21"/>
                <w:color w:val="auto"/>
              </w:rPr>
            </w:pPr>
          </w:p>
        </w:tc>
        <w:tc>
          <w:tcPr>
            <w:tcW w:w="260" w:type="dxa"/>
            <w:vAlign w:val="bottom"/>
            <w:tcBorders>
              <w:lef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59,458</w:t>
            </w:r>
          </w:p>
        </w:tc>
        <w:tc>
          <w:tcPr>
            <w:tcW w:w="80" w:type="dxa"/>
            <w:vAlign w:val="bottom"/>
            <w:shd w:val="clear" w:color="auto" w:fill="CFF0FC"/>
          </w:tcPr>
          <w:p>
            <w:pPr>
              <w:spacing w:after="0"/>
              <w:rPr>
                <w:sz w:val="21"/>
                <w:szCs w:val="2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61,821</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80" w:type="dxa"/>
            <w:vAlign w:val="bottom"/>
          </w:tcPr>
          <w:p>
            <w:pPr>
              <w:spacing w:after="0"/>
              <w:rPr>
                <w:sz w:val="21"/>
                <w:szCs w:val="21"/>
                <w:color w:val="auto"/>
              </w:rPr>
            </w:pPr>
          </w:p>
        </w:tc>
      </w:tr>
      <w:tr>
        <w:trPr>
          <w:trHeight w:val="25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(1,603 )</w:t>
            </w:r>
          </w:p>
        </w:tc>
        <w:tc>
          <w:tcPr>
            <w:tcW w:w="260" w:type="dxa"/>
            <w:vAlign w:val="bottom"/>
            <w:tcBorders>
              <w:left w:val="single" w:sz="8" w:color="CFF0FC"/>
            </w:tcBorders>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(8,803 )</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80" w:type="dxa"/>
            <w:vAlign w:val="bottom"/>
            <w:shd w:val="clear" w:color="auto" w:fill="CFF0FC"/>
          </w:tcPr>
          <w:p>
            <w:pPr>
              <w:spacing w:after="0"/>
              <w:rPr>
                <w:sz w:val="22"/>
                <w:szCs w:val="22"/>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20" w:type="dxa"/>
            <w:vAlign w:val="bottom"/>
          </w:tcPr>
          <w:p>
            <w:pPr>
              <w:spacing w:after="0"/>
              <w:rPr>
                <w:sz w:val="19"/>
                <w:szCs w:val="19"/>
                <w:color w:val="auto"/>
              </w:rPr>
            </w:pPr>
          </w:p>
        </w:tc>
        <w:tc>
          <w:tcPr>
            <w:tcW w:w="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(8,803 )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8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-2228215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-2211070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-2228215</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-2211070</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-1885315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-1868170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-1885315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-1868170</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-205105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-187960</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-205105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-205105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-205105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equity in earnings (loss) of unconsolidated joint ventures of $1 million and $(1) million for the three and nine months ended September 27, 2024, respectively, and equity in earnings of unconsolidated joint ventures of $3 million and $10 million for the three and nine months ended September 29,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Contractually required support provided to the Company’s joint ventures is discussed in Note 11 - Commitments and Contingencies.</w:t>
      </w:r>
    </w:p>
    <w:p>
      <w:pPr>
        <w:sectPr>
          <w:pgSz w:w="11900" w:h="16838" w:orient="portrait"/>
          <w:cols w:equalWidth="0" w:num="1">
            <w:col w:w="10840"/>
          </w:cols>
          <w:pgMar w:left="320" w:top="725" w:right="739" w:bottom="1440" w:gutter="0" w:footer="0" w:header="0"/>
        </w:sectPr>
      </w:pP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25" w:right="7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spacing w:after="0" w:line="293"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2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7"/>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38"/>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50"/>
        </w:trPr>
        <w:tc>
          <w:tcPr>
            <w:tcW w:w="2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77"/>
        </w:trPr>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-25400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the condensed consolidated balance sheets related to services provided to unconsolidated joint ventures as of September 27,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 are as follows: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7"/>
        </w:trPr>
        <w:tc>
          <w:tcPr>
            <w:tcW w:w="3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 and Intangible Assets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components of property, plant and equipment as of September 27, 2024 and December 29, 2023 and depreciation expense for the three and nine months ended September 27, 2024 and September 29, 2023.</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land and leasehold improvements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4,002</w:t>
            </w: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vehicles</w:t>
            </w:r>
          </w:p>
        </w:tc>
        <w:tc>
          <w:tcPr>
            <w:tcW w:w="22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50,565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70,250</w:t>
            </w:r>
          </w:p>
        </w:tc>
      </w:tr>
      <w:tr>
        <w:trPr>
          <w:trHeight w:val="243"/>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software and construction in progress</w:t>
            </w:r>
          </w:p>
        </w:tc>
        <w:tc>
          <w:tcPr>
            <w:tcW w:w="2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9,324</w:t>
            </w:r>
          </w:p>
        </w:tc>
      </w:tr>
      <w:tr>
        <w:trPr>
          <w:trHeight w:val="237"/>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2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57,829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83,576</w:t>
            </w:r>
          </w:p>
        </w:tc>
      </w:tr>
      <w:tr>
        <w:trPr>
          <w:trHeight w:val="243"/>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(36,433 )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(37,203 )</w:t>
            </w:r>
          </w:p>
        </w:tc>
      </w:tr>
      <w:tr>
        <w:trPr>
          <w:trHeight w:val="236"/>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21,396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46,373</w:t>
            </w:r>
          </w:p>
        </w:tc>
      </w:tr>
      <w:tr>
        <w:trPr>
          <w:trHeight w:val="20"/>
        </w:trPr>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-505460</wp:posOffset>
            </wp:positionV>
            <wp:extent cx="1289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128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3820" w:type="dxa"/>
            <w:vAlign w:val="bottom"/>
          </w:tcPr>
          <w:p>
            <w:pPr>
              <w:spacing w:after="0"/>
              <w:rPr>
                <w:sz w:val="20"/>
                <w:szCs w:val="20"/>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40" w:type="dxa"/>
            <w:vAlign w:val="bottom"/>
          </w:tcPr>
          <w:p>
            <w:pPr>
              <w:spacing w:after="0"/>
              <w:rPr>
                <w:sz w:val="20"/>
                <w:szCs w:val="20"/>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60" w:type="dxa"/>
            <w:vAlign w:val="bottom"/>
          </w:tcPr>
          <w:p>
            <w:pPr>
              <w:spacing w:after="0"/>
              <w:rPr>
                <w:sz w:val="20"/>
                <w:szCs w:val="20"/>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80" w:type="dxa"/>
            <w:vAlign w:val="bottom"/>
          </w:tcPr>
          <w:p>
            <w:pPr>
              <w:spacing w:after="0"/>
              <w:rPr>
                <w:sz w:val="20"/>
                <w:szCs w:val="20"/>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r>
      <w:tr>
        <w:trPr>
          <w:trHeight w:val="245"/>
        </w:trPr>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r>
      <w:tr>
        <w:trPr>
          <w:trHeight w:val="272"/>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2,737</w:t>
            </w:r>
          </w:p>
        </w:tc>
        <w:tc>
          <w:tcPr>
            <w:tcW w:w="14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3,604</w:t>
            </w:r>
          </w:p>
        </w:tc>
        <w:tc>
          <w:tcPr>
            <w:tcW w:w="1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9,515</w:t>
            </w:r>
          </w:p>
        </w:tc>
        <w:tc>
          <w:tcPr>
            <w:tcW w:w="1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1028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4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spacing w:after="0" w:line="243"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27, 2024, Shimmick completed the sale-leaseback of the Company's equipment yard in Tracy, California. The agreement consummated the sale of the equipment yard for $20.5 million and allows us to continue using the property pursuant to a separately executed seven-year lease. The Company received net proceeds of $17 million, after adjustments for prepaid rent through February 2026 and related closing costs, which were used to repay borrowings under the Revolving Credit Facility. As a result of the sale, the Company recorded a gain of $17 million in Gain on sale of assets within the condensed consolidated statements of operations.</w:t>
      </w:r>
    </w:p>
    <w:p>
      <w:pPr>
        <w:spacing w:after="0" w:line="2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27, 2024, Shimmick made the strategic decision to enhance the Company’s current enterprise resource planning (ERP) system rather than implementing a new platform which, due to prior capitalized pre-implementation costs and remaining contractual obligations of $5 million included in accrued expenses in the accompanying condensed consolidated balance sheets, resulted in a one-time charge of $16 million recorded in the three months ended September 27,</w:t>
      </w:r>
    </w:p>
    <w:p>
      <w:pPr>
        <w:sectPr>
          <w:pgSz w:w="11900" w:h="16838" w:orient="portrait"/>
          <w:cols w:equalWidth="0" w:num="1">
            <w:col w:w="11220"/>
          </w:cols>
          <w:pgMar w:left="320" w:top="727"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7" w:right="359" w:bottom="1440" w:gutter="0" w:footer="0" w:header="0"/>
          <w:type w:val="continuous"/>
        </w:sectPr>
      </w:pPr>
    </w:p>
    <w:bookmarkStart w:id="14" w:name="page15"/>
    <w:bookmarkEnd w:id="14"/>
    <w:p>
      <w:pPr>
        <w:ind w:right="660"/>
        <w:spacing w:after="0" w:line="282" w:lineRule="auto"/>
        <w:rPr>
          <w:sz w:val="20"/>
          <w:szCs w:val="20"/>
          <w:color w:val="auto"/>
        </w:rPr>
      </w:pPr>
      <w:r>
        <w:rPr>
          <w:rFonts w:ascii="Times New Roman" w:cs="Times New Roman" w:eastAsia="Times New Roman" w:hAnsi="Times New Roman"/>
          <w:sz w:val="18"/>
          <w:szCs w:val="18"/>
          <w:color w:val="auto"/>
        </w:rPr>
        <w:t>2024. The write-off is recorded in ERP pre-implementation asset impairment and associated costs within the condensed consolidated statements of operations.</w:t>
      </w:r>
    </w:p>
    <w:p>
      <w:pPr>
        <w:spacing w:after="0" w:line="2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finite-lived intangible assets, including the weighted average useful lives for each major intangible asset category and in total: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207"/>
        </w:trPr>
        <w:tc>
          <w:tcPr>
            <w:tcW w:w="36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Useful Life in</w:t>
            </w:r>
          </w:p>
        </w:tc>
        <w:tc>
          <w:tcPr>
            <w:tcW w:w="2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r>
      <w:tr>
        <w:trPr>
          <w:trHeight w:val="25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1"/>
                <w:szCs w:val="21"/>
                <w:color w:val="auto"/>
              </w:rPr>
            </w:pPr>
          </w:p>
        </w:tc>
        <w:tc>
          <w:tcPr>
            <w:tcW w:w="13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7"/>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(3,982 )</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2"/>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29, 2023</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7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Useful Life 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r>
      <w:tr>
        <w:trPr>
          <w:trHeight w:val="25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20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(4,543 )</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shd w:val="clear" w:color="auto" w:fill="CFF0FC"/>
          </w:tcPr>
          <w:p>
            <w:pPr>
              <w:spacing w:after="0"/>
              <w:rPr>
                <w:sz w:val="20"/>
                <w:szCs w:val="20"/>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20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(3,340 )</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(7,883 )</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shd w:val="clear" w:color="auto" w:fill="CFF0FC"/>
          </w:tcPr>
          <w:p>
            <w:pPr>
              <w:spacing w:after="0"/>
              <w:rPr>
                <w:sz w:val="21"/>
                <w:szCs w:val="2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estimated aggregate remaining amortization is as follows:</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2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0"/>
        </w:trPr>
        <w:tc>
          <w:tcPr>
            <w:tcW w:w="226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1"/>
                <w:szCs w:val="21"/>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43"/>
        </w:trPr>
        <w:tc>
          <w:tcPr>
            <w:tcW w:w="2260" w:type="dxa"/>
            <w:vAlign w:val="bottom"/>
          </w:tcPr>
          <w:p>
            <w:pPr>
              <w:spacing w:after="0"/>
              <w:rPr>
                <w:sz w:val="21"/>
                <w:szCs w:val="21"/>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shd w:val="clear" w:color="auto" w:fill="CFF0FC"/>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60" w:type="dxa"/>
            <w:vAlign w:val="bottom"/>
          </w:tcPr>
          <w:p>
            <w:pPr>
              <w:spacing w:after="0"/>
              <w:rPr>
                <w:sz w:val="20"/>
                <w:szCs w:val="20"/>
                <w:color w:val="auto"/>
              </w:rPr>
            </w:pPr>
          </w:p>
        </w:tc>
      </w:tr>
      <w:tr>
        <w:trPr>
          <w:trHeight w:val="252"/>
        </w:trPr>
        <w:tc>
          <w:tcPr>
            <w:tcW w:w="2260" w:type="dxa"/>
            <w:vAlign w:val="bottom"/>
          </w:tcPr>
          <w:p>
            <w:pPr>
              <w:spacing w:after="0"/>
              <w:rPr>
                <w:sz w:val="21"/>
                <w:szCs w:val="21"/>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60" w:type="dxa"/>
            <w:vAlign w:val="bottom"/>
            <w:shd w:val="clear" w:color="auto" w:fill="CFF0FC"/>
          </w:tcPr>
          <w:p>
            <w:pPr>
              <w:spacing w:after="0"/>
              <w:rPr>
                <w:sz w:val="21"/>
                <w:szCs w:val="21"/>
                <w:color w:val="auto"/>
              </w:rPr>
            </w:pPr>
          </w:p>
        </w:tc>
      </w:tr>
      <w:tr>
        <w:trPr>
          <w:trHeight w:val="239"/>
        </w:trPr>
        <w:tc>
          <w:tcPr>
            <w:tcW w:w="22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60" w:type="dxa"/>
            <w:vAlign w:val="bottom"/>
          </w:tcPr>
          <w:p>
            <w:pPr>
              <w:spacing w:after="0"/>
              <w:rPr>
                <w:sz w:val="20"/>
                <w:szCs w:val="20"/>
                <w:color w:val="auto"/>
              </w:rPr>
            </w:pPr>
          </w:p>
        </w:tc>
      </w:tr>
      <w:tr>
        <w:trPr>
          <w:trHeight w:val="277"/>
        </w:trPr>
        <w:tc>
          <w:tcPr>
            <w:tcW w:w="2260" w:type="dxa"/>
            <w:vAlign w:val="bottom"/>
          </w:tcPr>
          <w:p>
            <w:pPr>
              <w:spacing w:after="0"/>
              <w:rPr>
                <w:sz w:val="24"/>
                <w:szCs w:val="24"/>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pacing w:after="0" w:line="3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1"/>
                <w:szCs w:val="2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20" w:type="dxa"/>
            <w:vAlign w:val="bottom"/>
          </w:tcPr>
          <w:p>
            <w:pPr>
              <w:spacing w:after="0"/>
              <w:rPr>
                <w:sz w:val="20"/>
                <w:szCs w:val="20"/>
                <w:color w:val="auto"/>
              </w:rPr>
            </w:pPr>
          </w:p>
        </w:tc>
      </w:tr>
      <w:tr>
        <w:trPr>
          <w:trHeight w:val="277"/>
        </w:trPr>
        <w:tc>
          <w:tcPr>
            <w:tcW w:w="4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Long term debt,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39,903</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94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946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has been subsequently amended, most recently on September 25, 2024. As amended, the Revolving Credit Facility provides for a total commitment of $15 million and bears interest at an annual rate of adjusted term SOFR, subject to a 1.0% floor, plus 5.50%. Further, the Revolving Credit Facility is subject to an annual collateral management fee of 0.50% and an annual unused line fee of 0.50%. The Revolving Credit Facility includes certain financial operating covenants, including a minimum liquidity requirement of $7.5 million. The Revolving Credit Facility matures on December 31, 2024. The Company is not aware of any instances of noncompliance with the key financial covenants as of September 27, 2024.</w:t>
      </w:r>
    </w:p>
    <w:p>
      <w:pPr>
        <w:sectPr>
          <w:pgSz w:w="11900" w:h="16838" w:orient="portrait"/>
          <w:cols w:equalWidth="0" w:num="1">
            <w:col w:w="11240"/>
          </w:cols>
          <w:pgMar w:left="320" w:top="540"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5" w:name="page16"/>
    <w:bookmarkEnd w:id="15"/>
    <w:p>
      <w:pPr>
        <w:ind w:right="40"/>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27, 2024, we repaid $15 million of the amount outstanding under the Revolving Credit Facility. As of September 27, 2024, no borrowings were outstanding under the Revolving Credit Facility. As of December 29, 2023, $30 million was outstanding under the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Berkshire Hathaway Specialty Insurance Company (“BHSI”) as lenders, entered into a revolving credit facility (the “Credit Agreement”), which was subsequently amended on September 25, 2024 to, among other things, permit the Company’s concurrent amendment to the Revolving Credit Facility.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the election of the Company, on the last day of each month and upon prepayment.</w:t>
      </w:r>
    </w:p>
    <w:p>
      <w:pPr>
        <w:spacing w:after="0" w:line="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fourth quarter of 2025. The Credit Agreement also contains representations and warranties and event of default provisions customary for a transaction of this type. The Company is not aware of any instances of noncompliance with financial covenants as of September 27, 2024. As of September 27, 2024, $42 million was outstanding under the Credit Facility.</w:t>
      </w:r>
    </w:p>
    <w:p>
      <w:pPr>
        <w:spacing w:after="0" w:line="75"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The transactions with AECOM also included a mutual release and settlement of certain claims with AECOM and a corresponding agreement to issue 7,745,000 shares of our common shares to AECOM. 5,144,622 of the common shares were issued on May 20, 2024 and issuance of the remaining 2,600,378 shares was completed following shareholder approval on June 26, 2024. Of the total common shares issued, 1,036,949 were held in escrow which resulted in an AECOM voting interest of 19.9% as of September 27, 2024. The Company recognized a loss of $1 million in Other expense, net within the condensed consolidated statements of operations as a result of the share issuance which represented the excess of the $13 million fair market value of the common shares at the time of issuance over the $12 million carrying value of the contingent consideration liabilities settled with AECOM.</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33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compute the year-to-date income tax provision by applying our estimated annual effective tax rate to our year-to-date pre-tax income and adjust for discrete tax items in the period in which they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was 0% for the three and nine months ended September 27, 2024 and September 29, 2023.</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27, 2024, the deferred tax provision resulting from the current year loss is completely offset by the valuation allowance, resulting in zero tax expense.</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29, 2023, the deferred tax provision resulting from the loss was completely offset by the valuation allowance, resulting in zero tax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21" w:right="419" w:bottom="1440" w:gutter="0" w:footer="0" w:header="0"/>
        </w:sectPr>
      </w:pPr>
    </w:p>
    <w:bookmarkStart w:id="16" w:name="page17"/>
    <w:bookmarkEnd w:id="16"/>
    <w:p>
      <w:pPr>
        <w:ind w:right="100"/>
        <w:spacing w:after="0" w:line="256"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weighing all the evidence, giving more weight to the evidence that was objectively verifiable, a valuation allowance of $147 million and $124 million as of September 27, 2024 and December 29, 2023,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November 13, 2023, the Company’s Board approved the Shimmick Corporation 2023 Equity Incentive Plan (the “2023 Omnibus Incentive Plan”). 3,729,149 is the maximum aggregate number of shares of Common Stock available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will automatically increase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stock-based grants was $3 million and $2 million for the nine months ended September 27, 2024 and September 29, 2023, respectively. Unrecognized compensation expense related to stock-based grants to employees of Shimmick outstanding as of September 27, 2024 and September 29, 2023 was $7 million and $3 million, respectively, to be recognized on a straight-line basis over the awards’ weighted average remaining vesting period of 1 year and 1.6 years,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27, 2024, stock option activity was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years of</w:t>
            </w:r>
          </w:p>
        </w:tc>
      </w:tr>
      <w:tr>
        <w:trPr>
          <w:trHeight w:val="216"/>
        </w:trPr>
        <w:tc>
          <w:tcPr>
            <w:tcW w:w="3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45"/>
        </w:trPr>
        <w:tc>
          <w:tcPr>
            <w:tcW w:w="36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00" w:type="dxa"/>
            <w:vAlign w:val="bottom"/>
          </w:tcPr>
          <w:p>
            <w:pPr>
              <w:spacing w:after="0"/>
              <w:rPr>
                <w:sz w:val="21"/>
                <w:szCs w:val="21"/>
                <w:color w:val="auto"/>
              </w:rPr>
            </w:pPr>
          </w:p>
        </w:tc>
      </w:tr>
      <w:tr>
        <w:trPr>
          <w:trHeight w:val="24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29,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4,137,183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r>
      <w:tr>
        <w:trPr>
          <w:trHeight w:val="239"/>
        </w:trPr>
        <w:tc>
          <w:tcPr>
            <w:tcW w:w="3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(403,473 )</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Forfeited &amp; expired</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(377,978 )</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September 27, 2024</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3,355,732</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FF0FC"/>
            </w:tcBorders>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September 27, 2024</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2,788,977</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-367665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-367665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-367665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for unvested Shimmick restricted stock units for the nine months ended September 27,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4720" w:type="dxa"/>
            <w:vAlign w:val="bottom"/>
            <w:tcBorders>
              <w:bottom w:val="single" w:sz="8" w:color="auto"/>
            </w:tcBorders>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r>
      <w:tr>
        <w:trPr>
          <w:trHeight w:val="207"/>
        </w:trPr>
        <w:tc>
          <w:tcPr>
            <w:tcW w:w="5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r>
      <w:tr>
        <w:trPr>
          <w:trHeight w:val="245"/>
        </w:trPr>
        <w:tc>
          <w:tcPr>
            <w:tcW w:w="5380" w:type="dxa"/>
            <w:vAlign w:val="bottom"/>
          </w:tcPr>
          <w:p>
            <w:pPr>
              <w:spacing w:after="0"/>
              <w:rPr>
                <w:sz w:val="21"/>
                <w:szCs w:val="21"/>
                <w:color w:val="auto"/>
              </w:rPr>
            </w:pPr>
          </w:p>
        </w:tc>
        <w:tc>
          <w:tcPr>
            <w:tcW w:w="2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29, 2023</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576,714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r>
      <w:tr>
        <w:trPr>
          <w:trHeight w:val="247"/>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Awarded</w:t>
            </w: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1,898,160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39"/>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(57,666 )</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r>
      <w:tr>
        <w:trPr>
          <w:trHeight w:val="237"/>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27, 2024</w:t>
            </w: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2,417,208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Ended vested as of September 27, 2024</w:t>
            </w: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363,279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r>
      <w:tr>
        <w:trPr>
          <w:trHeight w:val="237"/>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Ended unvested as of September 27, 2024</w:t>
            </w: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2,053,929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-333375</wp:posOffset>
            </wp:positionV>
            <wp:extent cx="1543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543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3.4 million and 4.3 million employee stock options for the three and nine months ended September 27, 2024 and September 29, 2023, respectively, and 2.4 million restricted stock units for the three and nine months ended September 27, 2024 were excluded from the calculation of diluted earnings per share as they are antidilutive to the EPS calculation.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0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240" w:type="dxa"/>
            <w:vAlign w:val="bottom"/>
          </w:tcPr>
          <w:p>
            <w:pPr>
              <w:spacing w:after="0"/>
              <w:rPr>
                <w:sz w:val="18"/>
                <w:szCs w:val="18"/>
                <w:color w:val="auto"/>
              </w:rPr>
            </w:pPr>
          </w:p>
        </w:tc>
        <w:tc>
          <w:tcPr>
            <w:tcW w:w="130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27, 2024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29, 2023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27, 2024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29, 2023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Shimmick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(86,286 )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(86,286 )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6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 for basic EPS - weighted average shares</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options</w:t>
            </w: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Denominator for diluted EPS - adjusted weighted average shares and assumed</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21,914</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-1774190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-1757045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-1774190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-1757045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-1774190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-1757045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-659765</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-659765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-659765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-205105</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-187960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-205105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-205105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expenses recorded within the condensed consolidated statements of operations are comprised as follows: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7"/>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29,</w:t>
            </w:r>
          </w:p>
        </w:tc>
      </w:tr>
      <w:tr>
        <w:trPr>
          <w:trHeight w:val="245"/>
        </w:trPr>
        <w:tc>
          <w:tcPr>
            <w:tcW w:w="3680" w:type="dxa"/>
            <w:vAlign w:val="bottom"/>
          </w:tcPr>
          <w:p>
            <w:pPr>
              <w:spacing w:after="0"/>
              <w:rPr>
                <w:sz w:val="21"/>
                <w:szCs w:val="21"/>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29, 2023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27, 2024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9"/>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9,732</w:t>
            </w:r>
          </w:p>
        </w:tc>
      </w:tr>
      <w:tr>
        <w:trPr>
          <w:trHeight w:val="247"/>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w:t>
            </w:r>
          </w:p>
        </w:tc>
      </w:tr>
      <w:tr>
        <w:trPr>
          <w:trHeight w:val="23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(all in cost of revenue):</w:t>
            </w: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7"/>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39"/>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r>
      <w:tr>
        <w:trPr>
          <w:trHeight w:val="23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11,414</w:t>
            </w:r>
          </w:p>
        </w:tc>
      </w:tr>
      <w:tr>
        <w:trPr>
          <w:trHeight w:val="20"/>
        </w:trPr>
        <w:tc>
          <w:tcPr>
            <w:tcW w:w="3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-187960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-187960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Additional condensed consolidated balance sheets information related to leases is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September 27,</w:t>
            </w:r>
          </w:p>
        </w:tc>
        <w:tc>
          <w:tcPr>
            <w:tcW w:w="12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0"/>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2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20" w:type="dxa"/>
            <w:vAlign w:val="bottom"/>
            <w:shd w:val="clear" w:color="auto" w:fill="CFF0FC"/>
          </w:tcPr>
          <w:p>
            <w:pPr>
              <w:spacing w:after="0"/>
              <w:rPr>
                <w:sz w:val="21"/>
                <w:szCs w:val="21"/>
                <w:color w:val="auto"/>
              </w:rPr>
            </w:pPr>
          </w:p>
        </w:tc>
        <w:tc>
          <w:tcPr>
            <w:tcW w:w="2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23,568</w:t>
            </w:r>
          </w:p>
        </w:tc>
      </w:tr>
      <w:tr>
        <w:trPr>
          <w:trHeight w:val="243"/>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tcBorders>
              <w:bottom w:val="single" w:sz="8" w:color="CFF0FC"/>
            </w:tcBorders>
            <w:shd w:val="clear" w:color="auto" w:fill="CFF0FC"/>
          </w:tcPr>
          <w:p>
            <w:pPr>
              <w:spacing w:after="0"/>
              <w:rPr>
                <w:sz w:val="21"/>
                <w:szCs w:val="21"/>
                <w:color w:val="auto"/>
              </w:rPr>
            </w:pPr>
          </w:p>
        </w:tc>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3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assets</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25,996</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23,855</w:t>
            </w: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3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43"/>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20" w:type="dxa"/>
            <w:vAlign w:val="bottom"/>
            <w:shd w:val="clear" w:color="auto" w:fill="CFF0FC"/>
          </w:tcPr>
          <w:p>
            <w:pPr>
              <w:spacing w:after="0"/>
              <w:rPr>
                <w:sz w:val="21"/>
                <w:szCs w:val="21"/>
                <w:color w:val="auto"/>
              </w:rPr>
            </w:pPr>
          </w:p>
        </w:tc>
        <w:tc>
          <w:tcPr>
            <w:tcW w:w="26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26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3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FF0FC"/>
          </w:tcPr>
          <w:p>
            <w:pPr>
              <w:spacing w:after="0"/>
              <w:rPr>
                <w:sz w:val="21"/>
                <w:szCs w:val="21"/>
                <w:color w:val="auto"/>
              </w:rPr>
            </w:pPr>
          </w:p>
        </w:tc>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6,680</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8,247</w:t>
            </w:r>
          </w:p>
        </w:tc>
      </w:tr>
      <w:tr>
        <w:trPr>
          <w:trHeight w:val="23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81"/>
        </w:trPr>
        <w:tc>
          <w:tcPr>
            <w:tcW w:w="3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120" w:type="dxa"/>
            <w:vAlign w:val="bottom"/>
            <w:shd w:val="clear" w:color="auto" w:fill="CFF0FC"/>
          </w:tcPr>
          <w:p>
            <w:pPr>
              <w:spacing w:after="0"/>
              <w:rPr>
                <w:sz w:val="24"/>
                <w:szCs w:val="24"/>
                <w:color w:val="auto"/>
              </w:rPr>
            </w:pPr>
          </w:p>
        </w:tc>
        <w:tc>
          <w:tcPr>
            <w:tcW w:w="26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6,790</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8,564</w:t>
            </w:r>
          </w:p>
        </w:tc>
      </w:tr>
      <w:tr>
        <w:trPr>
          <w:trHeight w:val="223"/>
        </w:trPr>
        <w:tc>
          <w:tcPr>
            <w:tcW w:w="32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6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4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shd w:val="clear" w:color="auto" w:fill="CFF0FC"/>
          </w:tcPr>
          <w:p>
            <w:pPr>
              <w:spacing w:after="0"/>
              <w:rPr>
                <w:sz w:val="21"/>
                <w:szCs w:val="21"/>
                <w:color w:val="auto"/>
              </w:rPr>
            </w:pPr>
          </w:p>
        </w:tc>
        <w:tc>
          <w:tcPr>
            <w:tcW w:w="26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17,117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15,017</w:t>
            </w:r>
          </w:p>
        </w:tc>
      </w:tr>
      <w:tr>
        <w:trPr>
          <w:trHeight w:val="243"/>
        </w:trPr>
        <w:tc>
          <w:tcPr>
            <w:tcW w:w="3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17,117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15,045</w:t>
            </w: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-2108200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-830580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-814070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information related to leases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r>
      <w:tr>
        <w:trPr>
          <w:trHeight w:val="250"/>
        </w:trPr>
        <w:tc>
          <w:tcPr>
            <w:tcW w:w="11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43"/>
        </w:trPr>
        <w:tc>
          <w:tcPr>
            <w:tcW w:w="1140" w:type="dxa"/>
            <w:vAlign w:val="bottom"/>
          </w:tcPr>
          <w:p>
            <w:pPr>
              <w:spacing w:after="0"/>
              <w:rPr>
                <w:sz w:val="21"/>
                <w:szCs w:val="21"/>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7"/>
        </w:trPr>
        <w:tc>
          <w:tcPr>
            <w:tcW w:w="1140" w:type="dxa"/>
            <w:vAlign w:val="bottom"/>
          </w:tcPr>
          <w:p>
            <w:pPr>
              <w:spacing w:after="0"/>
              <w:rPr>
                <w:sz w:val="21"/>
                <w:szCs w:val="21"/>
                <w:color w:val="auto"/>
              </w:rPr>
            </w:pPr>
          </w:p>
        </w:tc>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9"/>
        </w:trPr>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14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81"/>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r>
      <w:tr>
        <w:trPr>
          <w:trHeight w:val="245"/>
        </w:trPr>
        <w:tc>
          <w:tcPr>
            <w:tcW w:w="114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1"/>
        </w:trPr>
        <w:tc>
          <w:tcPr>
            <w:tcW w:w="114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8,685</w:t>
            </w:r>
          </w:p>
        </w:tc>
      </w:tr>
      <w:tr>
        <w:trPr>
          <w:trHeight w:val="247"/>
        </w:trPr>
        <w:tc>
          <w:tcPr>
            <w:tcW w:w="1140" w:type="dxa"/>
            <w:vAlign w:val="bottom"/>
          </w:tcPr>
          <w:p>
            <w:pPr>
              <w:spacing w:after="0"/>
              <w:rPr>
                <w:sz w:val="21"/>
                <w:szCs w:val="21"/>
                <w:color w:val="auto"/>
              </w:rPr>
            </w:pPr>
          </w:p>
        </w:tc>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1"/>
        </w:trPr>
        <w:tc>
          <w:tcPr>
            <w:tcW w:w="11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remaining lease payments under both the Company’s operating and finance leases are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r>
      <w:tr>
        <w:trPr>
          <w:trHeight w:val="25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1"/>
                <w:szCs w:val="21"/>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189"/>
        </w:trPr>
        <w:tc>
          <w:tcPr>
            <w:tcW w:w="36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36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1"/>
                <w:szCs w:val="2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r>
      <w:tr>
        <w:trPr>
          <w:trHeight w:val="25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52"/>
        </w:trPr>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1"/>
        </w:trPr>
        <w:tc>
          <w:tcPr>
            <w:tcW w:w="3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0"/>
                <w:szCs w:val="20"/>
                <w:color w:val="auto"/>
              </w:rPr>
            </w:pPr>
          </w:p>
        </w:tc>
      </w:tr>
      <w:tr>
        <w:trPr>
          <w:trHeight w:val="23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20"/>
                <w:szCs w:val="20"/>
                <w:color w:val="auto"/>
              </w:rPr>
            </w:pPr>
          </w:p>
        </w:tc>
      </w:tr>
      <w:tr>
        <w:trPr>
          <w:trHeight w:val="276"/>
        </w:trPr>
        <w:tc>
          <w:tcPr>
            <w:tcW w:w="3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0139"/>
          </w:cols>
          <w:pgMar w:left="320" w:top="540" w:right="1440" w:bottom="947" w:gutter="0" w:footer="0" w:header="0"/>
        </w:sect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947"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September 27, 2024 and December 29, 2023, and believes that the ultimate resolution of such matters will not materially affect the Company's condensed consolidated financial position, results of operations, or cash flows.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recorded contingent consideration as of September 27, 2024 and December 29, 2023 at its estimated fair value. The Company is unable to reasonably determine an estimated range of amounts of the payments that could be made due to the uncertainty of future events.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typically indemnifies contract owners for claims arising during the construction process and carries insurance coverage for such claims.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and under certain contracts, the Company is required to post standby letters of credit for its insurance carriers. The Company did not have any letters of credit outstanding as of September 27, 2024 or December 29,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 Settlement</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231F20"/>
        </w:rPr>
        <w:t>On October 31, 2024, the Company entered into a settlement agreement in its Golden Gate Bridge Project (the “GGB Project”). Under the terms of the settlement and through its consolidated joint venture with Danny’s Construction Co. LLC, Shimmick/Danny’s Joint Venture (“SDJV”), SDJV will receive total settlement proceeds of $97 million, a contract change order for reduced scope of work of $6 million and a contract change order for extension of project completion and costs incurred on the GGB Project. The GGB Project owner is required to pay SDJV $25 million within 14 business days of the executed agreement and the remaining $72 million cash payment to SDJV on or before December 17, 2024. After paying subcontractor pass-through claims, Shimmick plans to use the remaining proceeds for ongoing operations, including completion of the GGB Project.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settlement amount and reduction of outstanding scope of work are recorded in Contract assets, current and Contract liabilities, current within the condensed consolidated balance sheets.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a result of the GGB Project settlement and after accounting for subcontractor, legal and other costs as well as previously recorded revenue, the Company recognized an increase in gross margin of $11 million on the project during the three months ended September 27, 2024 within the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the Form 10-K, particularly in “Risk Factors”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p>
    <w:p>
      <w:pPr>
        <w:spacing w:after="0" w:line="18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w:t>
      </w:r>
      <w:r>
        <w:rPr>
          <w:rFonts w:ascii="Times New Roman" w:cs="Times New Roman" w:eastAsia="Times New Roman" w:hAnsi="Times New Roman"/>
          <w:sz w:val="18"/>
          <w:szCs w:val="18"/>
          <w:i w:val="1"/>
          <w:iCs w:val="1"/>
          <w:color w:val="auto"/>
        </w:rPr>
        <w:t>Engineering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News Record</w:t>
      </w:r>
      <w:r>
        <w:rPr>
          <w:rFonts w:ascii="Times New Roman" w:cs="Times New Roman" w:eastAsia="Times New Roman" w:hAnsi="Times New Roman"/>
          <w:sz w:val="18"/>
          <w:szCs w:val="18"/>
          <w:color w:val="auto"/>
        </w:rPr>
        <w:t>, in 2024, Shimmick was nationally ranked as a top ten builder of water supply (#8), dams and reservoirs (#6), and water treatment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desalination plants (#7). Shimmick is led by industry veterans, many with over 20 years of experience, and works closely with its customers to deliver complete solutions, including long-term operations and maintenance.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selectively focus on the following types of infrastructure projects:</w:t>
      </w:r>
    </w:p>
    <w:p>
      <w:pPr>
        <w:spacing w:after="0" w:line="117" w:lineRule="exact"/>
        <w:rPr>
          <w:sz w:val="20"/>
          <w:szCs w:val="20"/>
          <w:color w:val="auto"/>
        </w:rPr>
      </w:pPr>
    </w:p>
    <w:p>
      <w:pPr>
        <w:ind w:left="1020" w:right="4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Treatment: We expand, rehabilitate, upgrade, build and rebuild water and wastewater treatment infrastructure, including desalination plants. We implement complex cleantech treatment technologies including ozonation, biological activated carbon, membrane filtration, reverse osmosis, chemical treatment, and oxidation. We also conduct facility commissioning. Our projects and solutions aim to ensure access to clean and safe drinking water, protect public health, and reduce waterborne diseases. Our work contributes to protecting the environment by removing pollutants and contaminants from wastewater before it is released back into ecosystems. Additionally, water treatment infrastructure supports sustainable water management, which conserves this precious resource for future generations.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Resources: We build, expand, and improve water storage and conveyance, dams, levees, flood control systems, pump stations, and coastal protection. We also upgrade and expand dams, levees and locks along our nation’s waterways to enable continued emissions-reducing movement of goods.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spacing w:after="0" w:line="75"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Critical Infrastructure: 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September 27, 2024, we had a backlog of projects of $834 million,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 Settlement</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31F20"/>
        </w:rPr>
        <w:t>On October 31, 2024, the Company entered into a settlement agreement in its Golden Gate Bridge Project (the “GGB Project”). Under the terms of the settlement and through its consolidated joint venture with Danny’s Construction Co. LLC, Shimmick/Danny’s Joint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1" w:name="page22"/>
    <w:bookmarkEnd w:id="21"/>
    <w:p>
      <w:pPr>
        <w:ind w:right="200"/>
        <w:spacing w:after="0" w:line="258" w:lineRule="auto"/>
        <w:rPr>
          <w:sz w:val="20"/>
          <w:szCs w:val="20"/>
          <w:color w:val="auto"/>
        </w:rPr>
      </w:pPr>
      <w:r>
        <w:rPr>
          <w:rFonts w:ascii="Times New Roman" w:cs="Times New Roman" w:eastAsia="Times New Roman" w:hAnsi="Times New Roman"/>
          <w:sz w:val="18"/>
          <w:szCs w:val="18"/>
          <w:color w:val="231F20"/>
        </w:rPr>
        <w:t>Venture (“SDJV”), SDJV will receive total settlement proceeds of $97 million, a contract change order for reduced scope of work of $6 million and a contract change order for extension of project completion and costs incurred on the GGB Project. The GGB Project owner is required to pay SDJV $25 million within 14 business days of the executed agreement and the remaining $72 million cash payment to SDJV on or before December 17, 2024. After paying subcontractor pass-through claims, Shimmick plans to use the remaining proceeds for ongoing operations, including completion of the GGB Project.</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settlement amount and reduction of outstanding scope of work are recorded in Contract assets, current and Contract liabilities, current within the condensed consolidated balance sheets.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a result of the GGB Project settlement and after accounting for subcontractor, legal and other costs as well as previously recorded revenue, the Company recognized an increase in gross margin of $11 million on the project during the three months ended September 27, 2024 within the condensed consolidated statements of operations.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on August 23, 2024, the Company received $33 million in cash as a result of the previously announced settlement of a claim with the United States Army Corps of Engineers for which the revenue and cost of revenue impact was recorded within the condensed consolidated statements of operations for the six months ended June 28,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Agreement</w:t>
      </w:r>
    </w:p>
    <w:p>
      <w:pPr>
        <w:spacing w:after="0" w:line="22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27, 2024, Shimmick completed the sale-leaseback of the Company's equipment yard in Tracy, California. The agreement consummated the sale of the equipment yard for $20.5 million and allows us to continue using the property pursuant to a separately executed seven-year lease. The Company received net proceeds of $17 million, after adjustments for prepaid rent through February 2026 and related closing costs, which were used to repay borrowings under the Revolving Credit Facility. As a result of the sale, the Company recorded a gain of $17 million in Gain on sale of assets within the condensed consolidated statements of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Pre-implementation Asset Impairment and Associated Costs</w:t>
      </w:r>
    </w:p>
    <w:p>
      <w:pPr>
        <w:spacing w:after="0" w:line="2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27, 2024, Shimmick made the strategic decision to enhance the Company’s current enterprise resource planning (ERP) system rather than implementing a new platform which, due to prior capitalized pre-implementation costs and remaining contractual obligations of $5 million included in accrued expenses in the accompanying condensed consolidated balance sheets, resulted in a one-time charge of $16 million recorded in the three months ended September 27, 2024. The write-off is recorded in ERP pre-implementation asset impairment and associated costs within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History and Initial Public Offering</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In January 2021, we were sold by AECOM and began operating as an independent company under new private ownership. After the transaction, we began a transformation to shift our strategy to meet the nation’s growing need for water and other critical infrastructure and grow our business. We are also focusing more on smaller complex projects that we can largely self perform and which we believe will have lower risk and higher margin.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The Company’s common stock began trading on the NASDAQ Global Market on November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expect that our results of operations will be affected by a number of factors which have discussed below.</w:t>
      </w:r>
    </w:p>
    <w:p>
      <w:pPr>
        <w:spacing w:after="0" w:line="22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Weather, natural disasters and emergencies. </w:t>
      </w:r>
      <w:r>
        <w:rPr>
          <w:rFonts w:ascii="Times New Roman" w:cs="Times New Roman" w:eastAsia="Times New Roman" w:hAnsi="Times New Roman"/>
          <w:sz w:val="18"/>
          <w:szCs w:val="18"/>
          <w:color w:val="231F20"/>
        </w:rPr>
        <w:t>The results of our business in a given period can be impacted by adverse weather conditions, severe weather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w:t>
      </w:r>
    </w:p>
    <w:p>
      <w:pPr>
        <w:sectPr>
          <w:pgSz w:w="11900" w:h="16838" w:orient="portrait"/>
          <w:cols w:equalWidth="0" w:num="1">
            <w:col w:w="11200"/>
          </w:cols>
          <w:pgMar w:left="320" w:top="729" w:right="37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type w:val="continuous"/>
        </w:sectPr>
      </w:pPr>
    </w:p>
    <w:bookmarkStart w:id="22" w:name="page23"/>
    <w:bookmarkEnd w:id="22"/>
    <w:p>
      <w:pPr>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Seasonality. </w:t>
      </w:r>
      <w:r>
        <w:rPr>
          <w:rFonts w:ascii="Times New Roman" w:cs="Times New Roman" w:eastAsia="Times New Roman" w:hAnsi="Times New Roman"/>
          <w:sz w:val="18"/>
          <w:szCs w:val="18"/>
          <w:color w:val="231F20"/>
        </w:rPr>
        <w:t>Typically, our revenue is lowest in the first quarter of the year because cold, snowy or wet conditions can create challenging working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Fulfill Backlog Orders</w:t>
      </w:r>
      <w:r>
        <w:rPr>
          <w:rFonts w:ascii="Times New Roman" w:cs="Times New Roman" w:eastAsia="Times New Roman" w:hAnsi="Times New Roman"/>
          <w:sz w:val="18"/>
          <w:szCs w:val="18"/>
          <w:color w:val="231F20"/>
        </w:rPr>
        <w:t>. Our backlog consists of the estimated amount of services to be completed from future work on uncompleted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New Projects. </w:t>
      </w:r>
      <w:r>
        <w:rPr>
          <w:rFonts w:ascii="Times New Roman" w:cs="Times New Roman" w:eastAsia="Times New Roman" w:hAnsi="Times New Roman"/>
          <w:sz w:val="18"/>
          <w:szCs w:val="18"/>
          <w:color w:val="231F20"/>
        </w:rPr>
        <w:t>We selectively bid on projects that we believe offer an opportunity to meet our profitability objectives or that offer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Our Ability to Successfully Expand our Footprint</w:t>
      </w:r>
      <w:r>
        <w:rPr>
          <w:rFonts w:ascii="Times New Roman" w:cs="Times New Roman" w:eastAsia="Times New Roman" w:hAnsi="Times New Roman"/>
          <w:sz w:val="18"/>
          <w:szCs w:val="18"/>
          <w:color w:val="231F20"/>
        </w:rPr>
        <w:t>. We review our bidding opportunities to attempt to minimize concentration of work with any one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spacing w:after="0" w:line="18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231F20"/>
        </w:rPr>
        <w:t>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proposal, where contracts are awarded based on a combination of technical qualifications, proposed project team, schedule, the ability to obtain surety bonds, past performance on similar projects and price, which we believe creates a barrier to entry. Contracts are principally awarded on a fixed-price basis, and we earn and recognize revenue using an input measure of total costs incurred divided by total costs expected to be incurred.</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Approval of Change Orders and Successfully Pursue Claims. </w:t>
      </w:r>
      <w:r>
        <w:rPr>
          <w:rFonts w:ascii="Times New Roman" w:cs="Times New Roman" w:eastAsia="Times New Roman" w:hAnsi="Times New Roman"/>
          <w:sz w:val="18"/>
          <w:szCs w:val="18"/>
          <w:color w:val="231F20"/>
        </w:rPr>
        <w:t>We are subject to variation in scope and cost of projects from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231F20"/>
        </w:rPr>
        <w:t>Our Ability to Control Project Costs</w:t>
      </w:r>
      <w:r>
        <w:rPr>
          <w:rFonts w:ascii="Times New Roman" w:cs="Times New Roman" w:eastAsia="Times New Roman" w:hAnsi="Times New Roman"/>
          <w:sz w:val="18"/>
          <w:szCs w:val="18"/>
          <w:color w:val="231F20"/>
        </w:rPr>
        <w:t>. Our costs primarily consist of payroll, equipment, materials, and other project related expenses. With a consistent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23" w:name="page24"/>
    <w:bookmarkEnd w:id="23"/>
    <w:p>
      <w:pPr>
        <w:ind w:right="100"/>
        <w:spacing w:after="0" w:line="258" w:lineRule="auto"/>
        <w:rPr>
          <w:sz w:val="20"/>
          <w:szCs w:val="20"/>
          <w:color w:val="auto"/>
        </w:rPr>
      </w:pPr>
      <w:r>
        <w:rPr>
          <w:rFonts w:ascii="Times New Roman" w:cs="Times New Roman" w:eastAsia="Times New Roman" w:hAnsi="Times New Roman"/>
          <w:sz w:val="18"/>
          <w:szCs w:val="18"/>
          <w:color w:val="231F20"/>
        </w:rPr>
        <w:t>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231F20"/>
        </w:rPr>
        <w:t>Our Ability to Control Selling General and Administrative Costs</w:t>
      </w:r>
      <w:r>
        <w:rPr>
          <w:rFonts w:ascii="Times New Roman" w:cs="Times New Roman" w:eastAsia="Times New Roman" w:hAnsi="Times New Roman"/>
          <w:sz w:val="18"/>
          <w:szCs w:val="18"/>
          <w:color w:val="231F20"/>
        </w:rPr>
        <w:t>. Because we now exist as a public company, we incur significant expenses on an ongoing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basis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Joint Ventures. </w:t>
      </w:r>
      <w:r>
        <w:rPr>
          <w:rFonts w:ascii="Times New Roman" w:cs="Times New Roman" w:eastAsia="Times New Roman" w:hAnsi="Times New Roman"/>
          <w:sz w:val="18"/>
          <w:szCs w:val="18"/>
          <w:color w:val="231F20"/>
        </w:rPr>
        <w:t>We participate in various construction joint ventures in order to share expertise, risk and resources for certain highly complex, large, and/or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Performance of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the cost of revenue.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Earnings (Loss) of Unconsolidated Joint Ventures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 includes our return on investment in unconsolidated joint ventures.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27, 2024 compared to the Three Months Ended September 29, 2023</w:t>
      </w:r>
    </w:p>
    <w:p>
      <w:pPr>
        <w:spacing w:after="0" w:line="3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data for the three months ended September 27, 2024 compared to the three months ended September 29,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60" w:type="dxa"/>
            <w:vAlign w:val="bottom"/>
            <w:tcBorders>
              <w:top w:val="single" w:sz="8" w:color="auto"/>
            </w:tcBorders>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80" w:type="dxa"/>
            <w:vAlign w:val="bottom"/>
            <w:tcBorders>
              <w:top w:val="single" w:sz="8" w:color="auto"/>
            </w:tcBorders>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166,035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175,448</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(9,413 )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153,846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158,436</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12,189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17,012</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(4,823 )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ERP pre-implementation asset impairment and associated</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15,708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15,708</w:t>
            </w:r>
          </w:p>
        </w:tc>
        <w:tc>
          <w:tcPr>
            <w:tcW w:w="1180" w:type="dxa"/>
            <w:vAlign w:val="bottom"/>
            <w:gridSpan w:val="2"/>
            <w:vMerge w:val="restart"/>
            <w:shd w:val="clear" w:color="auto" w:fill="CFF0FC"/>
          </w:tcPr>
          <w:p>
            <w:pPr>
              <w:jc w:val="right"/>
              <w:ind w:right="520"/>
              <w:spacing w:after="0"/>
              <w:rPr>
                <w:sz w:val="20"/>
                <w:szCs w:val="20"/>
                <w:color w:val="auto"/>
              </w:rPr>
            </w:pPr>
            <w:r>
              <w:rPr>
                <w:rFonts w:ascii="Times New Roman" w:cs="Times New Roman" w:eastAsia="Times New Roman" w:hAnsi="Times New Roman"/>
                <w:sz w:val="14"/>
                <w:szCs w:val="14"/>
                <w:color w:val="auto"/>
              </w:rPr>
              <w:t>NM</w:t>
            </w:r>
          </w:p>
        </w:tc>
        <w:tc>
          <w:tcPr>
            <w:tcW w:w="12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CFF0FC"/>
            </w:tcBorders>
            <w:gridSpan w:val="2"/>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auto"/>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28,693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14,022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14,671</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2,577</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16,896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30,069</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(13,173 )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1,204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35,636</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(34,432 )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1,565</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393</w:t>
            </w:r>
          </w:p>
        </w:tc>
        <w:tc>
          <w:tcPr>
            <w:tcW w:w="1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398</w:t>
            </w:r>
          </w:p>
        </w:tc>
        <w:tc>
          <w:tcPr>
            <w:tcW w:w="10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before income tax</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(loss) income</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(1,564 )</w:t>
            </w:r>
          </w:p>
        </w:tc>
        <w:tc>
          <w:tcPr>
            <w:tcW w:w="2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34,831</w:t>
            </w:r>
          </w:p>
        </w:tc>
        <w:tc>
          <w:tcPr>
            <w:tcW w:w="3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(36,395 )</w:t>
            </w:r>
          </w:p>
        </w:tc>
        <w:tc>
          <w:tcPr>
            <w:tcW w:w="11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(104 )%</w:t>
            </w:r>
          </w:p>
        </w:tc>
        <w:tc>
          <w:tcPr>
            <w:tcW w:w="13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(1 )%</w:t>
            </w:r>
          </w:p>
        </w:tc>
        <w:tc>
          <w:tcPr>
            <w:tcW w:w="1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-1062355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-1062355</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-1062355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-1062355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-376555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-376555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-376555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-145415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-145415</wp:posOffset>
            </wp:positionV>
            <wp:extent cx="857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-145415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-145415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Revenue and 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selected revenue and gross margin data for the three months ended September 27, 2024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29, 2023:</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0"/>
        </w:trPr>
        <w:tc>
          <w:tcPr>
            <w:tcW w:w="3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 data)</w:t>
            </w:r>
          </w:p>
        </w:tc>
        <w:tc>
          <w:tcPr>
            <w:tcW w:w="120" w:type="dxa"/>
            <w:vAlign w:val="bottom"/>
          </w:tcPr>
          <w:p>
            <w:pPr>
              <w:spacing w:after="0"/>
              <w:rPr>
                <w:sz w:val="19"/>
                <w:szCs w:val="19"/>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Shimmick Projects</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101,475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109,884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(8,409 )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6,181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15,060</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(8,879 )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Foundations Projects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10,837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11,523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(686 )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(1,904 )</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(1,432 )</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(472 )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Legacy Projects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53,723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54,041</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(318 )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3,384</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4,528</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166,035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175,448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(9,413 )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12,189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17,012</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(4,823 )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231F20"/>
        </w:rPr>
        <w:t>Shimmick Projects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Projects started after the AECOM Sale Transactions ("Shimmick Projects") have focused on water infrastructure and other critical infrastructure. Revenue recognized on Shimmick Projects was $101 million and $110 million for the three months ended September 27, 2024 and September 29, 2023, respectively. The $9 million decrease in revenue was primarily the result of a $28 million decrease from lower activity on existing jobs and jobs winding down partially offset by $19 million of revenue from a new water infrastructure job.</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Gross margin recognized on Shimmick Projects was $6 million and $15 million for the three months ended September 27, 2024 and September 29, 2023, respectively. The decline in the gross margin was primarily the result of a $12 million decrease in gross margin on existing jobs that are winding down and completing partially offset by a $3 million increase in margin from a new water infrastructure job.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Foundations Projects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231F20"/>
        </w:rPr>
        <w:t>The Company entered into an agreement to sell the assets of our non-core Foundations Projects in the second quarter of 2024 and will be winding down any remaining work during the remainder of the 2024 fiscal year. As a result, revenue from Foundations Projects will decline during the remainder of the 2024 fiscal year. Revenue recognized on Foundations Projects was $11 million and $12 million for the three months ended September 27, 2024 and September 29, 2023, respectively. The decline in revenue was the result of timing of jobs winding down.</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Gross margin recognized on Foundations Projects was $(2) million and $(1) million for the three months ended September 27, 2024 and September 29, 2023, respectively. The decline in gross margin was the result of cost overruns and jobs winding down.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 xml:space="preserve">As part of the AECOM Sale Transactions, we assumed the Legacy Projects and backlog that were started under AECOM. Legacy Projects revenue was flat at $54 million for each of the three months ended September 27, 2024 and September 29, 2023. As a result of the GGB Project settlement and after accounting for previously recorded revenue, we made an adjustment to revenue of $31 million to reflect the settlement amount (which is included in the $54 million of revenue for the three months ended September 27, 2024), which offset continued impacts of Legacy Projects winding down. See </w:t>
      </w:r>
      <w:r>
        <w:rPr>
          <w:rFonts w:ascii="Times New Roman" w:cs="Times New Roman" w:eastAsia="Times New Roman" w:hAnsi="Times New Roman"/>
          <w:sz w:val="18"/>
          <w:szCs w:val="18"/>
          <w:i w:val="1"/>
          <w:iCs w:val="1"/>
          <w:color w:val="231F20"/>
        </w:rPr>
        <w:t>Recent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Developments </w:t>
      </w:r>
      <w:r>
        <w:rPr>
          <w:rFonts w:ascii="Times New Roman" w:cs="Times New Roman" w:eastAsia="Times New Roman" w:hAnsi="Times New Roman"/>
          <w:sz w:val="18"/>
          <w:szCs w:val="18"/>
          <w:color w:val="231F20"/>
        </w:rPr>
        <w:t>for additional details.</w:t>
      </w:r>
    </w:p>
    <w:p>
      <w:pPr>
        <w:spacing w:after="0" w:line="18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231F20"/>
        </w:rPr>
        <w:t>Gross margin was $8 million and $3 million for the three months ended September 27, 2024 and September 29, 2023, respectively. The increase in gross margin was primarily as a result of the GGB Project settlement which was partially offset by continued impacts of Legacy Projects winding down, as well as additional legal fees to pursue contract modifications and recoveries and additional cost overruns on other Legacy Loss Projects (as defined below).</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A subset of Legacy Projects ("Legacy Loss Projects") have experienced significant cost overruns due to the COVID pandemic, design issues, legal costs and other factors. In the Legacy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Legacy Loss Projects continue to wind down to completion, no further gross margin will be recognized and in some cases, there may be additional costs associated with these projects. Revenue recognized on these Legacy Loss Projects was $49 million and $27 million for the three months ended September 27, 2024 and September 29, 2023, respectively. The increase was primarily as a result of the GGB Project settlement discussed above, partially offset by continued impacts of other Legacy Loss Projects winding down. Gross margin recognized on these Legacy Loss Projects was $10 million and $(1) million for the three months ended September 27, 2024 and September 29, 2023, respectively, the increase of which is primarily as a result of the GGB Project settlement.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Selling, general and administrative expenses remained approximately flat period over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Equity in earnings of unconsolidated joint ventures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Equity in earnings of unconsolidated joint ventures was $1 million, compared to earnings of $3 million in the prior year period. The decrease was primarily driven by increased costs due to schedule extensions experienced during the nine months ended September 27,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Gain on sale of assets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1" w:right="379" w:bottom="1440" w:gutter="0" w:footer="0" w:header="0"/>
        </w:sectPr>
      </w:pPr>
    </w:p>
    <w:bookmarkStart w:id="26" w:name="page27"/>
    <w:bookmarkEnd w:id="26"/>
    <w:p>
      <w:pPr>
        <w:ind w:right="220"/>
        <w:spacing w:after="0" w:line="266" w:lineRule="auto"/>
        <w:rPr>
          <w:sz w:val="20"/>
          <w:szCs w:val="20"/>
          <w:color w:val="auto"/>
        </w:rPr>
      </w:pPr>
      <w:r>
        <w:rPr>
          <w:rFonts w:ascii="Times New Roman" w:cs="Times New Roman" w:eastAsia="Times New Roman" w:hAnsi="Times New Roman"/>
          <w:sz w:val="18"/>
          <w:szCs w:val="18"/>
          <w:color w:val="231F20"/>
        </w:rPr>
        <w:t>Gain on sale of assets decreased by $13 million primarily due to the gain recognized on the sale of non-core business contracts for $30 million during the three months ended September 29, 2023 that did not reoccur during the nine months ended September 27, 2024, partially offset by the $17 million gain recognized on the transaction for the sale-leaseback of our equipment yard in Tracy, California during the three months ended September 27,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pre-implementation asset impairment and associated costs</w:t>
      </w:r>
    </w:p>
    <w:p>
      <w:pPr>
        <w:spacing w:after="0" w:line="22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231F20"/>
        </w:rPr>
        <w:t>ERP pre-implementation asset impairment and associated costs increased by $16 million due to the strategic decision to enhance the Company’s current ERP system rather than implementing a new platform which, due to prior capitalized costs and remaining contractual obligations, resulted in a one-time charge of $16 million recorded in the three months ended September 27,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Interest expense increased by $2 million primarily due to interest charges on the Credit Facility which was not entered into until May 20,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expense, net remained approximately flat period over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 expense</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Income tax expense was flat period over period. Due to an expected tax loss for fiscal year ending 2024, no taxable income or tax expense is anticipated for 2024, and no taxable income was recorded for the prior year three months ended September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(loss) income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Net (loss) income decreased by $36 million to a net loss of $2 million for the three months ended September 27, 2024, primarily due to an increase in ERP pre-implementation asset impairment and associated costs of $16 million, a decrease in gain on the sale of assets of $13 million, decrease in gross margin of $5 million, increase of interest expense of $2 million and decrease in equity in earnings of unconsolidated joint ventures of $2 million all as described above.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27, 2024 compared to the Nine Months Ended September 29, 2023</w:t>
      </w:r>
    </w:p>
    <w:p>
      <w:pPr>
        <w:spacing w:after="0" w:line="3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data for the nine months ended September 27, 2024 compared to the nine months ended September 29,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60" w:type="dxa"/>
            <w:vAlign w:val="bottom"/>
            <w:tcBorders>
              <w:top w:val="single" w:sz="8" w:color="auto"/>
            </w:tcBorders>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80" w:type="dxa"/>
            <w:vAlign w:val="bottom"/>
            <w:tcBorders>
              <w:top w:val="single" w:sz="8" w:color="auto"/>
            </w:tcBorders>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376,684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494,744</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(118,060 )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(24 )%</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411,485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471,967</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(60,482 )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(34,801 )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22,777</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(57,578 )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47,878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47,841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ERP pre-implementation asset impairment and associated</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15,708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15,708</w:t>
            </w:r>
          </w:p>
        </w:tc>
        <w:tc>
          <w:tcPr>
            <w:tcW w:w="1180" w:type="dxa"/>
            <w:vAlign w:val="bottom"/>
            <w:gridSpan w:val="2"/>
            <w:vMerge w:val="restart"/>
            <w:shd w:val="clear" w:color="auto" w:fill="CFF0FC"/>
          </w:tcPr>
          <w:p>
            <w:pPr>
              <w:jc w:val="right"/>
              <w:ind w:right="520"/>
              <w:spacing w:after="0"/>
              <w:rPr>
                <w:sz w:val="20"/>
                <w:szCs w:val="20"/>
                <w:color w:val="auto"/>
              </w:rPr>
            </w:pPr>
            <w:r>
              <w:rPr>
                <w:rFonts w:ascii="Times New Roman" w:cs="Times New Roman" w:eastAsia="Times New Roman" w:hAnsi="Times New Roman"/>
                <w:sz w:val="14"/>
                <w:szCs w:val="14"/>
                <w:color w:val="auto"/>
              </w:rPr>
              <w:t>NM</w:t>
            </w:r>
          </w:p>
        </w:tc>
        <w:tc>
          <w:tcPr>
            <w:tcW w:w="12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CFF0FC"/>
            </w:tcBorders>
            <w:gridSpan w:val="2"/>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auto"/>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63,586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47,841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15,745</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(loss) earnings of unconsolidated joint ventures</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(779 )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9,570</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(10,349 )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20,585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31,749</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(11,164 )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(78,581 )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16,255</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(94,836 )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3,350</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3,287</w:t>
            </w:r>
          </w:p>
        </w:tc>
        <w:tc>
          <w:tcPr>
            <w:tcW w:w="10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6,848</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before income tax</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(86,286 )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15,187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(101,473 )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(668 )</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(loss) income</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(86,286 )</w:t>
            </w:r>
          </w:p>
        </w:tc>
        <w:tc>
          <w:tcPr>
            <w:tcW w:w="2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15,187</w:t>
            </w:r>
          </w:p>
        </w:tc>
        <w:tc>
          <w:tcPr>
            <w:tcW w:w="36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(101,473 )</w:t>
            </w:r>
          </w:p>
        </w:tc>
        <w:tc>
          <w:tcPr>
            <w:tcW w:w="11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(668 )%</w:t>
            </w:r>
          </w:p>
        </w:tc>
        <w:tc>
          <w:tcPr>
            <w:tcW w:w="13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(23 )%</w:t>
            </w:r>
          </w:p>
        </w:tc>
        <w:tc>
          <w:tcPr>
            <w:tcW w:w="1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-1062355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-1062355</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-1062355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-1062355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-376555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-376555</wp:posOffset>
            </wp:positionV>
            <wp:extent cx="85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-376555</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-376555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-144780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-144780</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-144780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-144780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2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231F20"/>
        </w:rPr>
        <w:t>Revenue and 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selected revenue and gross margin data for the nine months ended September 27, 2024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29, 2023:</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5"/>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0"/>
        </w:trPr>
        <w:tc>
          <w:tcPr>
            <w:tcW w:w="3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 data)</w:t>
            </w:r>
          </w:p>
        </w:tc>
        <w:tc>
          <w:tcPr>
            <w:tcW w:w="120" w:type="dxa"/>
            <w:vAlign w:val="bottom"/>
          </w:tcPr>
          <w:p>
            <w:pPr>
              <w:spacing w:after="0"/>
              <w:rPr>
                <w:sz w:val="19"/>
                <w:szCs w:val="19"/>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Shimmick Projects</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275,457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301,475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(26,018 )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28,626</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(18,310 )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Foundations Projects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25,931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40,615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(14,684 )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(8,212 )</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(7,041 )</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(1,171 )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Legacy Projects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75,296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152,654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(77,358 )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(36,905 )</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1,192</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(38,097 )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(3196 )%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1"/>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376,684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494,744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(118,060 )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(24 )%</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(34,801 )</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22,777</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(57,578 )</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(253 )%</w:t>
            </w:r>
          </w:p>
        </w:tc>
      </w:tr>
      <w:tr>
        <w:trPr>
          <w:trHeight w:val="23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 (%)</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Shimmick Projects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Shimmick Projects have focused on water infrastructure and other critical infrastructure. Revenue recognized on Shimmick Projects was $275 million and $301 million for the nine months ended September 27, 2024 and September 29, 2023, respectively. The $26 million decrease in revenue was primarily the result of a $63 million decrease from lower activity on existing jobs and jobs winding down partially offset by $37 million of revenue from a new water infrastructure job and ramp up of a transportation project.</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 xml:space="preserve">Gross margin recognized on Shimmick Projects was $10 million and $29 million for the nine months ended September 27, 2024 and September 29, 2023, respectively. </w:t>
      </w:r>
      <w:r>
        <w:rPr>
          <w:rFonts w:ascii="Times New Roman" w:cs="Times New Roman" w:eastAsia="Times New Roman" w:hAnsi="Times New Roman"/>
          <w:sz w:val="18"/>
          <w:szCs w:val="18"/>
          <w:color w:val="000000"/>
        </w:rPr>
        <w:t>The decline in the gross margin was primarily the result of a $23 million decrease driven by increased cost, schedule extensions and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decrease on existing jobs that are winding down, partially offset by $6 million of gross margin from a new water infrastructure job.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Foundations Projects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The Company entered into an agreement to sell the assets of our non-core Foundations Projects in the second quarter of 2024 and will be winding down any remaining work during the remainder of the 2024 fiscal year. As a result, revenue will decline during the remainder of the 2024 fiscal year. Revenue recognized on Foundations Projects was $26 million and $41 million for the nine months ended September 27, 2024 and September 29, 2023, respectively. The $15 million decline in revenue was the result of timing of multiple jobs winding down.</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Gross margin recognized on Foundations Projects was $(8) million and $(7) million for the nine months ended September 27, 2024 and September 29, 2023, respectively. The decline in gross margin was the result of cost overruns and jobs winding down.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Legacy Projects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 xml:space="preserve">As part of the AECOM Sale Transactions, we assumed the Legacy Projects and backlog that were started under AECOM. Legacy Projects revenue was $75 million, a decline of $77 million as the Company works to complete these projects. The decline in revenue was primarily driven by continued impacts of Legacy Projects winding down during fiscal 2024, the sale of non-core business contracts in the third quarter of 2023 as well as a non-cash adjustment to revenue on a Legacy Loss Project settlement recognized during the second quarter of 2024, partially offset by the GGB Project settlement. See </w:t>
      </w:r>
      <w:r>
        <w:rPr>
          <w:rFonts w:ascii="Times New Roman" w:cs="Times New Roman" w:eastAsia="Times New Roman" w:hAnsi="Times New Roman"/>
          <w:sz w:val="18"/>
          <w:szCs w:val="18"/>
          <w:i w:val="1"/>
          <w:iCs w:val="1"/>
          <w:color w:val="231F20"/>
        </w:rPr>
        <w:t>Recent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Developments </w:t>
      </w:r>
      <w:r>
        <w:rPr>
          <w:rFonts w:ascii="Times New Roman" w:cs="Times New Roman" w:eastAsia="Times New Roman" w:hAnsi="Times New Roman"/>
          <w:sz w:val="18"/>
          <w:szCs w:val="18"/>
          <w:color w:val="231F20"/>
        </w:rPr>
        <w:t>for additional details associated with the GGB Project settlement.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231F20"/>
        </w:rPr>
        <w:t>Gross margin was $(37) million, a decrease of $38 million as compared to the nine months ended September 29, 2023, primarily as a result of the Legacy Loss Project settlement during the second quarter of 2024, projects winding down and additional cost overruns on Legacy Loss Projects that have experienced additional increases in the cost to complete as well as additional legal fees to pursue contract modifications and recoveries, partially offset by the GGB Project settlement.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In the Legacy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Legacy Loss Projects continue to wind down to completion, no further gross margin will be recognized and in some cases, there may be additional costs associated with these projects. Revenue recognized on these Legacy Loss Projects was $57 million and $80 million for the nine months ended September 27, 2024 and September 29, 2023, respectively. Gross margin recognized on these Legacy Loss Projects was $(34) million and $(3) million for the nine months ended September 27, 2024 and September 29, 2023, respectively. The decrease in gross margin was primarily the result of the Legacy Loss Project settlement during the second quarter of 2024, additional increases in the cost to complete as well as additional legal fees to pursue contract modifications and recoveries, partially offset by the GGB Project settlement.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Selling, general and administrative expenses remained approximately flat period over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Equity in (loss) earnings of unconsolidated joint ventures</w:t>
      </w:r>
    </w:p>
    <w:p>
      <w:pPr>
        <w:spacing w:after="0" w:line="14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231F20"/>
        </w:rPr>
        <w:t>Equity in (loss) earnings of unconsolidated joint ventures was a loss of $1 million, compared to earnings of $10 million in the prior year period, primarily due a favorable subcontractor settlement during the nine months ended September 29, 2023 that did not reoccur during the nine months ended September 27, 2024 and increased costs due to schedule extensions.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Gain on sale of assets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231F20"/>
        </w:rPr>
        <w:t>Gain on sale of assets decreased by $11 million primarily due to the gain recognized on the sale of non-core business contracts for $30 million during the three months ended September 29, 2023 that did not reoccur during the nine months ended September 27, 2024, partially offset by the $17 million gain recognized on the transaction for the sale-leaseback of our equipment yard in Tracy, California and $2 million gain recognized on the sale of the assets of our non-core Foundations Projects during the nine months ended September 27,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ERP pre-implementation asset impairment and associated costs</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ERP pre-implementation asset impairment and associated costs increased by $16 million due to the strategic decision to enhance the Company’s current ERP system rather than implementing a new platform which, due to prior capitalized costs and remaining contractual obligations, resulted in a one-time charge of $16 million recorded in the nine months ended September 27,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Interest expense</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Interest expense increased by $3 million primarily due to interest charges on the Credit Facility which was entered into on May 20, 2024 as well as interest charges on the Revolving Credit Facility which was not entered into until March 27,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net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Other expense, net increased by $3 million for the nine months ended September 27, 2024 primarily due to a $1 million loss recognized on the settlement of certain claims with AECOM as well as expenses recognized associated with the change in fair value of contingent consideration and other costs incurred during the nine months ended September 27,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 expense</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9" w:name="page30"/>
    <w:bookmarkEnd w:id="29"/>
    <w:p>
      <w:pPr>
        <w:ind w:right="20"/>
        <w:spacing w:after="0" w:line="282" w:lineRule="auto"/>
        <w:rPr>
          <w:sz w:val="20"/>
          <w:szCs w:val="20"/>
          <w:color w:val="auto"/>
        </w:rPr>
      </w:pPr>
      <w:r>
        <w:rPr>
          <w:rFonts w:ascii="Times New Roman" w:cs="Times New Roman" w:eastAsia="Times New Roman" w:hAnsi="Times New Roman"/>
          <w:sz w:val="18"/>
          <w:szCs w:val="18"/>
          <w:color w:val="231F20"/>
        </w:rPr>
        <w:t>Income tax expense was flat period over period. Due to an expected tax loss for fiscal year ending 2024, no taxable income or tax expense is anticipated for 2024, and no taxable income was recorded for the prior year nine months ended September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loss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Net loss increased by $101 million to a net loss of $86 million for the nine months ended September 27, 2024, primarily due to decreases in gross margin of $58 million, an increase in ERP pre-implementation asset impairment and associated costs of $16 million, decrease of gain on the sale of assets of $11 million, increase in equity in loss of unconsolidated joint ventures of $10 million, increase in other expense, net of $3 million as well as an increase in interest expense of $3 million all as described above.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Financial Measures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income (loss) and Adjusted EBITDA.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(Loss)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Adjusted net income (loss) represents Net income (loss) attributable to Shimmick Corporation adjusted to eliminate stock-based compensation, ERP pre-implementation asset impairment and associated costs, legal fees and other costs for Legacy Projects and transaction-related costs and changes in fair value of contingent consideration remaining after the impact of transactions with AECOM. We have also made an adjustment for transformation costs we have incurred including advisory costs as we settle outstanding claims, exit the Legacy Projects and transform the Company into a water-focused business.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included Adjusted net income (loss)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income (loss) can provide a useful measure for period-to-period comparisons of our core business. Accordingly, we believe that Adjusted net income (loss) provides useful information to investors and others in understanding and evaluating our results of operations.</w:t>
      </w:r>
    </w:p>
    <w:p>
      <w:pPr>
        <w:spacing w:after="0" w:line="29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Our use of Adjusted net income (loss) as an analytical tool has limitations, and you should not consider it in isolation or as a substitute for analysis of our financial results as reported under GAAP. Some of these limitations are:</w:t>
      </w:r>
    </w:p>
    <w:p>
      <w:pPr>
        <w:spacing w:after="0" w:line="6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net income (loss)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Adjusted net </w:t>
      </w:r>
      <w:r>
        <w:rPr>
          <w:rFonts w:ascii="Times New Roman" w:cs="Times New Roman" w:eastAsia="Times New Roman" w:hAnsi="Times New Roman"/>
          <w:sz w:val="18"/>
          <w:szCs w:val="18"/>
          <w:color w:val="000000"/>
        </w:rPr>
        <w:t>income (loss)</w:t>
      </w:r>
      <w:r>
        <w:rPr>
          <w:rFonts w:ascii="Times New Roman" w:cs="Times New Roman" w:eastAsia="Times New Roman" w:hAnsi="Times New Roman"/>
          <w:sz w:val="18"/>
          <w:szCs w:val="18"/>
          <w:color w:val="231F20"/>
        </w:rPr>
        <w:t xml:space="preserve"> does not reflect the potentially dilutive impact of stock-based compensation, and</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net income (loss) or similarly titled measures differently, which reduces their usefulness as comparative measures.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net income (loss) alongside Net income (loss) attributable to Shimmick Corporation, which is the most directly comparable GAAP measure.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 xml:space="preserve">Adjusted EBITDA represents our Net income (loss) attributable to Shimmick Corporation before interest expense, income tax expense and depreciation and amortization, adjusted to eliminate </w:t>
      </w:r>
      <w:r>
        <w:rPr>
          <w:rFonts w:ascii="Times New Roman" w:cs="Times New Roman" w:eastAsia="Times New Roman" w:hAnsi="Times New Roman"/>
          <w:sz w:val="18"/>
          <w:szCs w:val="18"/>
          <w:color w:val="000000"/>
        </w:rPr>
        <w:t>stock-based compensation, ERP pre-implementation asset impairment and associated costs, legal fees and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costs for Legacy Projects and other costs. We have also made an adjustment for transformation costs we have incurred including advisory costs as we settle outstanding claims, exit the Legacy Projects and transform the Company into a water-focused business.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31F20"/>
        </w:rPr>
        <w:t xml:space="preserve">We have included Adjusted EBITDA in this </w:t>
      </w:r>
      <w:r>
        <w:rPr>
          <w:rFonts w:ascii="Times New Roman" w:cs="Times New Roman" w:eastAsia="Times New Roman" w:hAnsi="Times New Roman"/>
          <w:sz w:val="18"/>
          <w:szCs w:val="18"/>
          <w:color w:val="000000"/>
        </w:rPr>
        <w:t>Form 10-Q</w:t>
      </w:r>
      <w:r>
        <w:rPr>
          <w:rFonts w:ascii="Times New Roman" w:cs="Times New Roman" w:eastAsia="Times New Roman" w:hAnsi="Times New Roman"/>
          <w:sz w:val="18"/>
          <w:szCs w:val="18"/>
          <w:color w:val="231F20"/>
        </w:rPr>
        <w:t xml:space="preserv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0" w:name="page31"/>
    <w:bookmarkEnd w:id="30"/>
    <w:p>
      <w:pPr>
        <w:ind w:right="100"/>
        <w:spacing w:after="0" w:line="282" w:lineRule="auto"/>
        <w:rPr>
          <w:sz w:val="20"/>
          <w:szCs w:val="20"/>
          <w:color w:val="auto"/>
        </w:rPr>
      </w:pPr>
      <w:r>
        <w:rPr>
          <w:rFonts w:ascii="Times New Roman" w:cs="Times New Roman" w:eastAsia="Times New Roman" w:hAnsi="Times New Roman"/>
          <w:sz w:val="18"/>
          <w:szCs w:val="18"/>
          <w:color w:val="231F20"/>
        </w:rPr>
        <w:t>Our use of Adjusted EBITDA as an analytical tool has limitations, and you should not consider it in isolation or as a substitute for analysis of our financial results as reported under GAAP. Some of these limitations are:</w:t>
      </w:r>
    </w:p>
    <w:p>
      <w:pPr>
        <w:spacing w:after="0" w:line="162" w:lineRule="exact"/>
        <w:rPr>
          <w:sz w:val="20"/>
          <w:szCs w:val="20"/>
          <w:color w:val="auto"/>
        </w:rPr>
      </w:pPr>
    </w:p>
    <w:p>
      <w:pPr>
        <w:jc w:val="both"/>
        <w:ind w:left="1020" w:right="280" w:hanging="503"/>
        <w:spacing w:after="0" w:line="266"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the potentially dilutive impact of stock-based compensation,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EBITDA does not reflect interest or tax payments that would reduce the cash available to us, and</w:t>
      </w:r>
    </w:p>
    <w:p>
      <w:pPr>
        <w:spacing w:after="0" w:line="117"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might calculate Adjusted EBITDA or similarly titled measures differently, which reduces their usefulness as comparative measures.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Because of these and other limitations, you should consider Adjusted EBITDA alongside Net income (loss) attributable to Shimmick Corporation, which is the most directly comparable GAAP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See reconciliations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6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6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29,</w:t>
            </w:r>
          </w:p>
        </w:tc>
      </w:tr>
      <w:tr>
        <w:trPr>
          <w:trHeight w:val="240"/>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Shimmick Corporation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(1,564 )</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34,567</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(86,286 )</w:t>
            </w: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14,930</w:t>
            </w:r>
          </w:p>
        </w:tc>
      </w:tr>
      <w:tr>
        <w:trPr>
          <w:trHeight w:val="230"/>
        </w:trPr>
        <w:tc>
          <w:tcPr>
            <w:tcW w:w="53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Transformation costs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3,304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1,547</w:t>
            </w:r>
          </w:p>
        </w:tc>
      </w:tr>
      <w:tr>
        <w:trPr>
          <w:trHeight w:val="230"/>
        </w:trPr>
        <w:tc>
          <w:tcPr>
            <w:tcW w:w="53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ERP pre-implementation asset impairment and associated costs</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15,708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15,708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38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Legal fees and other costs for Legacy Projects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6,436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11,796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6,346</w:t>
            </w:r>
          </w:p>
        </w:tc>
      </w:tr>
      <w:tr>
        <w:trPr>
          <w:trHeight w:val="230"/>
        </w:trPr>
        <w:tc>
          <w:tcPr>
            <w:tcW w:w="53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1,808</w:t>
            </w:r>
          </w:p>
        </w:tc>
      </w:tr>
      <w:tr>
        <w:trPr>
          <w:trHeight w:val="25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net income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24,255</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36,662</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(50,086 )</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1028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02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1111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946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946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16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6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29,</w:t>
            </w:r>
          </w:p>
        </w:tc>
      </w:tr>
      <w:tr>
        <w:trPr>
          <w:trHeight w:val="240"/>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Shimmick Corporation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(1,564 )</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34,567</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(86,286 )</w:t>
            </w: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14,930</w:t>
            </w:r>
          </w:p>
        </w:tc>
      </w:tr>
      <w:tr>
        <w:trPr>
          <w:trHeight w:val="220"/>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4,637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13,186</w:t>
            </w:r>
          </w:p>
        </w:tc>
      </w:tr>
      <w:tr>
        <w:trPr>
          <w:trHeight w:val="23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1,977</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4,370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1,020</w:t>
            </w:r>
          </w:p>
        </w:tc>
      </w:tr>
      <w:tr>
        <w:trPr>
          <w:trHeight w:val="220"/>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38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 xml:space="preserve">Transformation costs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1,924</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4,532</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1,547</w:t>
            </w:r>
          </w:p>
        </w:tc>
      </w:tr>
      <w:tr>
        <w:trPr>
          <w:trHeight w:val="239"/>
        </w:trPr>
        <w:tc>
          <w:tcPr>
            <w:tcW w:w="538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ERP pre-implementation asset impairment and associated costs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15,708</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15,708</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3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Legal fees and other costs for Legacy Projects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6,436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6,346</w:t>
            </w:r>
          </w:p>
        </w:tc>
      </w:tr>
      <w:tr>
        <w:trPr>
          <w:trHeight w:val="229"/>
        </w:trPr>
        <w:tc>
          <w:tcPr>
            <w:tcW w:w="5380" w:type="dxa"/>
            <w:vAlign w:val="bottom"/>
            <w:tcBorders>
              <w:bottom w:val="single" w:sz="8" w:color="CFF0FC"/>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860</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1,808</w:t>
            </w: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29,679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41,712</w:t>
            </w: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(34,070 )</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38,837</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-179705</wp:posOffset>
            </wp:positionV>
            <wp:extent cx="1028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-179705</wp:posOffset>
            </wp:positionV>
            <wp:extent cx="1111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-179705</wp:posOffset>
            </wp:positionV>
            <wp:extent cx="946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8" w:lineRule="exact"/>
        <w:rPr>
          <w:sz w:val="20"/>
          <w:szCs w:val="20"/>
          <w:color w:val="auto"/>
        </w:rPr>
      </w:pPr>
    </w:p>
    <w:p>
      <w:pPr>
        <w:ind w:right="64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transformation-related costs we have incurred including advisory costs as we settle outstanding claims, exit the Legacy Projects and transform the Company into a water-focused business.</w:t>
      </w:r>
    </w:p>
    <w:p>
      <w:pPr>
        <w:ind w:right="300" w:firstLine="8"/>
        <w:spacing w:after="0" w:line="25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strategic decision to enhance the Company’s current ERP system rather than implementing a new platform which, due to prior capitalized costs and remaining contractual obligations, resulted in a one-time charge of $16 million in the third quarter of fiscal 2024.</w:t>
      </w: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fees and other costs incurred in connection with claims relating to Legacy Projects.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transaction-related costs and changes in fair value of contingent consideration remaining after the impact of transactions with AECOM.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Capital Requirements and Sources of Liquidity</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During the nine months ended September 27, 2024 our capital expenditures were approximately $10 million compared to $6 million for the nine months ended September 29, 2023.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September 27, 2024 totaled $26 million and availability under the Revolving Credit Facility and Credit Facility totaled $15 million and $18 million, respectively, resulting in total liquidity of $59 million. In addition, we expect to receive approximately $97 million in the 2024 fiscal year as a result of the settlement of the claim on the GGB Project as discussed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available through operating activities, in addition to credit facilities and existing cash balances, to finance our working capital requirements and to support our growth. On November 16, 2023, we completed our IPO pursuant to which we issued and sold an aggregate of 3,575,000 shares of common stock at a price to the public of $7.00 per share. We received aggregate net proceeds of approximately $19 million after deducting underwriting discounts and commissions of $2 million and other offering expenses of $4 million. We will continue to monitor the capital markets and may continue raising additional capital through the issuance of our common shares, authorized preferred shares or other securities.</w:t>
      </w:r>
    </w:p>
    <w:p>
      <w:pPr>
        <w:spacing w:after="0" w:line="18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We regularly monitor potential capital sources, including equity and debt financing, in an effort to meet our planned expenditures and liquidity requirements. Our future success will be highly dependent on our ability to access outside sources of capital.</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Furthermore, as a result of the completion of our IPO on November 16, 2023, we have incurred and expect to continue to incur additional costs associated with being a public company.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and sale-leaseback transactions,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outstanding is presented on the condensed consolidated balance sheets as follows:</w:t>
      </w:r>
    </w:p>
    <w:p>
      <w:pPr>
        <w:spacing w:after="0" w:line="200" w:lineRule="exact"/>
        <w:rPr>
          <w:sz w:val="20"/>
          <w:szCs w:val="20"/>
          <w:color w:val="auto"/>
        </w:rPr>
      </w:pPr>
    </w:p>
    <w:p>
      <w:pPr>
        <w:spacing w:after="0" w:line="25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5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0" w:type="dxa"/>
            <w:vAlign w:val="bottom"/>
          </w:tcPr>
          <w:p>
            <w:pPr>
              <w:spacing w:after="0"/>
              <w:rPr>
                <w:sz w:val="21"/>
                <w:szCs w:val="2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20" w:type="dxa"/>
            <w:vAlign w:val="bottom"/>
          </w:tcPr>
          <w:p>
            <w:pPr>
              <w:spacing w:after="0"/>
              <w:rPr>
                <w:sz w:val="20"/>
                <w:szCs w:val="20"/>
                <w:color w:val="auto"/>
              </w:rPr>
            </w:pPr>
          </w:p>
        </w:tc>
      </w:tr>
      <w:tr>
        <w:trPr>
          <w:trHeight w:val="277"/>
        </w:trPr>
        <w:tc>
          <w:tcPr>
            <w:tcW w:w="4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Long term debt,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39,903</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946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94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has been subsequently amended, most recently on September 25, 2024. As amended, the Revolving Credit Facility provides for a total commitment of $15 million and bears interest at an annual rate of adjusted term SOFR, subject to a 1.0% floor, plus 5.50%. Further, the Revolving Credit Facility is subject to an annual collateral management fee of 0.50% and an annual unused line fee of 0.50%. The Revolving Credit Facility includes certain financial operating</w:t>
      </w:r>
    </w:p>
    <w:p>
      <w:pPr>
        <w:sectPr>
          <w:pgSz w:w="11900" w:h="16838" w:orient="portrait"/>
          <w:cols w:equalWidth="0" w:num="1">
            <w:col w:w="11240"/>
          </w:cols>
          <w:pgMar w:left="320" w:top="833"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32" w:name="page33"/>
    <w:bookmarkEnd w:id="32"/>
    <w:p>
      <w:pPr>
        <w:ind w:right="60"/>
        <w:spacing w:after="0" w:line="282" w:lineRule="auto"/>
        <w:rPr>
          <w:sz w:val="20"/>
          <w:szCs w:val="20"/>
          <w:color w:val="auto"/>
        </w:rPr>
      </w:pPr>
      <w:r>
        <w:rPr>
          <w:rFonts w:ascii="Times New Roman" w:cs="Times New Roman" w:eastAsia="Times New Roman" w:hAnsi="Times New Roman"/>
          <w:sz w:val="18"/>
          <w:szCs w:val="18"/>
          <w:color w:val="auto"/>
        </w:rPr>
        <w:t>covenants, including a minimum liquidity requirement of $7.5 million. The Revolving Credit Facility matures on December 31, 2024. The Company is not aware of any instances of noncompliance with the key financial covenants as of September 27, 2024.</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27, 2024, we repaid $15 million of the amount outstanding under the Revolving Credit Facility. As of September 27, 2024, no borrowings were outstanding under the Revolving Credit Facility. As of December 29, 2023, $30 million was outstanding under the Revolving Credit Facility,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Berkshire Hathaway Specialty Insurance Company (“BHSI”) as lenders, entered into a revolving credit facility (the “Credit Agreement”). The Credit Agreement was subsequently amended on September 25, 2024 to among other things, permit the Company’s concurrent amendment to the Revolving Credit Facility.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the election of the Company, on the last day of each month and upon prepayment.</w:t>
      </w:r>
    </w:p>
    <w:p>
      <w:pPr>
        <w:spacing w:after="0" w:line="8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5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5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fourth quarter of 2025. The Credit Agreement also contains representations and warranties and event of default provisions customary for a transaction of this type. The Company is not aware of any instances of noncompliance with financial covenants as of September 27, 2024. As of September 27, 2024, $42 million was outstanding under the Credit Facility.</w:t>
      </w:r>
    </w:p>
    <w:p>
      <w:pPr>
        <w:spacing w:after="0" w:line="75"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The transactions with AECOM also included a mutual release and settlement of certain claims with AECOM and a corresponding agreement to issue 7,745,000 shares of our common shares to AECOM. 5,144,622 of the common shares were issued on May 20, 2024 and issuance of the remaining 2,600,378 shares was completed following shareholder approval on June 26, 2024. Of the total common shares issued, 1,036,949 were held in escrow which resulted in an AECOM voting interest of 19.9% as of September 27, 2024. The Company recognized a loss of $1 million in Other expense, net within the condensed consolidated statements of operations as a result of the share issuance which represented the excess of the $13 million fair market value of the common shares at the time of issuance over the $12 million carrying value of the contingent consideration liabilities settled with AECOM.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Cash Flows Analysis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table sets forth our cash flows for the periods indicated: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3"/>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29,</w:t>
            </w:r>
          </w:p>
        </w:tc>
      </w:tr>
      <w:tr>
        <w:trPr>
          <w:trHeight w:val="245"/>
        </w:trPr>
        <w:tc>
          <w:tcPr>
            <w:tcW w:w="86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60" w:type="dxa"/>
            <w:vAlign w:val="bottom"/>
          </w:tcPr>
          <w:p>
            <w:pPr>
              <w:spacing w:after="0"/>
              <w:rPr>
                <w:sz w:val="21"/>
                <w:szCs w:val="21"/>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(66,183 )</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(64,776 )</w:t>
            </w:r>
          </w:p>
        </w:tc>
      </w:tr>
      <w:tr>
        <w:trPr>
          <w:trHeight w:val="239"/>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13,153</w:t>
            </w:r>
          </w:p>
        </w:tc>
      </w:tr>
      <w:tr>
        <w:trPr>
          <w:trHeight w:val="243"/>
        </w:trPr>
        <w:tc>
          <w:tcPr>
            <w:tcW w:w="860" w:type="dxa"/>
            <w:vAlign w:val="bottom"/>
          </w:tcPr>
          <w:p>
            <w:pPr>
              <w:spacing w:after="0"/>
              <w:rPr>
                <w:sz w:val="21"/>
                <w:szCs w:val="21"/>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10,457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32,694</w:t>
            </w:r>
          </w:p>
        </w:tc>
      </w:tr>
      <w:tr>
        <w:trPr>
          <w:trHeight w:val="236"/>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(18,929 )</w:t>
            </w:r>
          </w:p>
        </w:tc>
      </w:tr>
      <w:tr>
        <w:trPr>
          <w:trHeight w:val="243"/>
        </w:trPr>
        <w:tc>
          <w:tcPr>
            <w:tcW w:w="860" w:type="dxa"/>
            <w:vAlign w:val="bottom"/>
          </w:tcPr>
          <w:p>
            <w:pPr>
              <w:spacing w:after="0"/>
              <w:rPr>
                <w:sz w:val="21"/>
                <w:szCs w:val="21"/>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82,085</w:t>
            </w:r>
          </w:p>
        </w:tc>
      </w:tr>
      <w:tr>
        <w:trPr>
          <w:trHeight w:val="236"/>
        </w:trPr>
        <w:tc>
          <w:tcPr>
            <w:tcW w:w="8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63,156</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-504825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Operating Activities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During the nine months ended September 27, 2024, net cash used in operating activities was $66 million, compared to net cash used in operating activities of $65 million for the nine months ended September 29, 2023. Cash flows used in operating activities were driven by increased net loss, adjusted for various non-cash items and changes in accounts receivable, contract assets, accounts payable, contract liabilities and accrued expenses balances (collectively, “Contract Capital”), as discussed below.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33" w:name="page34"/>
    <w:bookmarkEnd w:id="33"/>
    <w:p>
      <w:pPr>
        <w:ind w:right="220"/>
        <w:spacing w:after="0" w:line="282" w:lineRule="auto"/>
        <w:rPr>
          <w:sz w:val="20"/>
          <w:szCs w:val="20"/>
          <w:color w:val="auto"/>
        </w:rPr>
      </w:pPr>
      <w:r>
        <w:rPr>
          <w:rFonts w:ascii="Times New Roman" w:cs="Times New Roman" w:eastAsia="Times New Roman" w:hAnsi="Times New Roman"/>
          <w:sz w:val="18"/>
          <w:szCs w:val="18"/>
          <w:color w:val="231F20"/>
        </w:rPr>
        <w:t>Changes in Contract Capital—The change in operating assets and liabilities varies due to fluctuations and timing in operating activities and Contract Capital. The changes in the components of Contract Capital during the nine months ended September 27, 2024 and September 29, 2023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59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80" w:type="dxa"/>
            <w:vAlign w:val="bottom"/>
          </w:tcPr>
          <w:p>
            <w:pPr>
              <w:spacing w:after="0"/>
              <w:rPr>
                <w:sz w:val="20"/>
                <w:szCs w:val="20"/>
                <w:color w:val="auto"/>
              </w:rPr>
            </w:pPr>
          </w:p>
        </w:tc>
      </w:tr>
      <w:tr>
        <w:trPr>
          <w:trHeight w:val="245"/>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from unconsolidated joint ventures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FF0FC"/>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(2,418 )</w:t>
            </w: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(10,134 )</w:t>
            </w:r>
          </w:p>
        </w:tc>
      </w:tr>
      <w:tr>
        <w:trPr>
          <w:trHeight w:val="247"/>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(12,149 )</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24,221</w:t>
            </w:r>
          </w:p>
        </w:tc>
        <w:tc>
          <w:tcPr>
            <w:tcW w:w="80" w:type="dxa"/>
            <w:vAlign w:val="bottom"/>
            <w:shd w:val="clear" w:color="auto" w:fill="CFF0FC"/>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(18,157 )</w:t>
            </w: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(41,797 )</w:t>
            </w:r>
          </w:p>
        </w:tc>
      </w:tr>
      <w:tr>
        <w:trPr>
          <w:trHeight w:val="24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34,165</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(22,042 )</w:t>
            </w:r>
          </w:p>
        </w:tc>
      </w:tr>
      <w:tr>
        <w:trPr>
          <w:trHeight w:val="20"/>
        </w:trPr>
        <w:tc>
          <w:tcPr>
            <w:tcW w:w="59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Contract Capital,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(61,451 )</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-187960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During the nine months ended September 27, 2024, the increase in contract capital was $2 million, which was primarily due to decreases in accounts payable and contract liabilities, partially offset by increases in accrued expenses. The Company’s Contract Capital fluctuations are impacted by the mix of projects in backlog, seasonality, the timing of new awards and related payments for work performed and the contract billings to the customer as projects are completed. Contract Capital is also impacted at period-end by the timing of accounts receivable collections and accounts payable payments for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Investing Activities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For the nine months ended September 27, 2024, net cash provided by investing activities was $18 million, which was primarily driven by proceeds from the sale of assets of $32 million, partially offset by purchases of property, plant and equipment of $10 million and contributions to unconsolidated joint ventures of $3 million.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For the nine months ended September 29, 2023, net cash provided by investing activities was $13 million, which primarily consisted of cash proceeds from the sale of non-core business contracts of $30 million, proceeds from sale of property, plant and equipment of $5 million ($4 million due to sale of an office building), and return of investment in unconsolidated joint ventures of $4 million, partially offset by unconsolidated joint venture equity contributions of $20 million and purchases of property, plant and equipment of $6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Financing Activities</w:t>
      </w:r>
    </w:p>
    <w:p>
      <w:pPr>
        <w:spacing w:after="0" w:line="14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231F20"/>
        </w:rPr>
        <w:t>For the nine months ended September 27, 2024, net cash provided by financing activities was $10 million, which primarily consisted of net borrowings from credit facilities of $12 million, partially offset by $2 million of debt issuance costs incurred for the Credit Facility agreement and associated amendment entered into during the second and third quarters of 2024.</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For the nine months ended September 29, 2023, net cash provided by financing activities was $33 million, which primarily consisted of net proceeds from the Revolving Credit Facility borrowings of $34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Letters of Credit</w:t>
      </w:r>
    </w:p>
    <w:p>
      <w:pPr>
        <w:spacing w:after="0" w:line="1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We obtain standby letters of credit required by our insurance carriers. The Company did not have any letters of credit outstanding as of September 27, 2024 or December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Contractual Obligations</w:t>
      </w:r>
    </w:p>
    <w:p>
      <w:pPr>
        <w:spacing w:after="0" w:line="14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Contractual obligations of the Company consisted of liabilities associated with remaining lease payments for the three months ending January 3, 2025 through the fiscal years ending through December 29, 2028 of approximately $2 million, $7 million, $5 million, $4 million, $4 million, respectively, and approximately $6 million in the aggregate thereafter based on balances outstanding as of September 27,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4" w:name="page35"/>
    <w:bookmarkEnd w:id="34"/>
    <w:p>
      <w:pPr>
        <w:ind w:right="100"/>
        <w:spacing w:after="0" w:line="261" w:lineRule="auto"/>
        <w:rPr>
          <w:sz w:val="20"/>
          <w:szCs w:val="20"/>
          <w:color w:val="auto"/>
        </w:rPr>
      </w:pPr>
      <w:r>
        <w:rPr>
          <w:rFonts w:ascii="Times New Roman" w:cs="Times New Roman" w:eastAsia="Times New Roman" w:hAnsi="Times New Roman"/>
          <w:sz w:val="18"/>
          <w:szCs w:val="18"/>
          <w:color w:val="231F20"/>
        </w:rPr>
        <w:t>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As of September 27, 2024, we had a backlog of projects of $834 million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tables present the Company's percentage of backlog by customer type, contract type and backlog recognized:</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Backlog by customer type:</w:t>
            </w:r>
          </w:p>
        </w:tc>
        <w:tc>
          <w:tcPr>
            <w:tcW w:w="1720" w:type="dxa"/>
            <w:vAlign w:val="bottom"/>
            <w:tcBorders>
              <w:top w:val="single" w:sz="8" w:color="auto"/>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agencies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Federal agencies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Private owners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-496570</wp:posOffset>
            </wp:positionV>
            <wp:extent cx="427736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-179070</wp:posOffset>
            </wp:positionV>
            <wp:extent cx="4277360" cy="179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77360" cy="17970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Backlog by contract type:</w:t>
            </w: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Fixed-price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-496570</wp:posOffset>
            </wp:positionV>
            <wp:extent cx="427736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-179705</wp:posOffset>
            </wp:positionV>
            <wp:extent cx="4277360" cy="180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77360" cy="1803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27, 2024</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backlog recognized:</w:t>
            </w: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0 to 24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Beyond 36 months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02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-650875</wp:posOffset>
            </wp:positionV>
            <wp:extent cx="427736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-342265</wp:posOffset>
            </wp:positionV>
            <wp:extent cx="4277360" cy="162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231F20"/>
        </w:rPr>
        <w:t>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231F20"/>
        </w:rPr>
        <w:t>and liabilities that are not readily apparent from other sources. Actual results may differ from these estimates under different assumptions or conditions, and the impact of such differences may be material to our condensed consolidated financial statements.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applied and produce financial information that fairly depicts the financial condition, results of operations, and cash flows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are an emerging growth company, we will, among other things:</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 adopted by the Public Company Accounting Oversight Board, requiring mandatory audit firm rotation and identification of critical audit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obligations with respect to financial data, including presenting only two years of audited financial statements and only two years of selected financial data in the Form 10-K.</w:t>
      </w:r>
    </w:p>
    <w:p>
      <w:pPr>
        <w:spacing w:after="0" w:line="16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3" w:lineRule="exact"/>
        <w:rPr>
          <w:sz w:val="20"/>
          <w:szCs w:val="20"/>
          <w:color w:val="auto"/>
        </w:rPr>
      </w:pPr>
    </w:p>
    <w:p>
      <w:pPr>
        <w:ind w:right="40" w:firstLine="8"/>
        <w:spacing w:after="0" w:line="255"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date of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 of $1.235 billion or more,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Management, under the supervision and with the participation of the Chief Executive Officer and Interim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that evaluation, our Chief Executive Officer and Interim Chief Financial Officer concluded that as of September 27, 2024, our disclosure controls and procedures were not effective due to the material weaknesses in internal control over financial reporting described below. We have in place and are executing a remediation plan to address the material weaknesses described below.</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discussed in Item 9A of our Form 10-K, 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December 29, 2023 and December 30, 2022.</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performed additional analyses and other procedures to ensure that our condensed consolidated financial statements were prepared in accordance with U.S. Generally Accepted Accounting Principles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Identified Material Weaknesses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our current staff, which has changed over the last twenty-four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over estimate at completion (revenue), payroll, treasury, property, plant and equipment and leases.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continue to evaluate the controls that we have implemented and conduct such testing that is necessary to conclude on the operating effectiveness of the controls. Additional remediation may be necessary as we continue to monitor and evaluate the effectiveness of controls implemented to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the exception of the implementation and enhancement of controls in connection with our remediation activities described above, there were no changes to our internal control over financial reporting during the quarter ended September 27, 2024 that have materially affected, or that are reasonably likely to materially affect, our internal control over financial reporting.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Part II, Item 1 can be found under Item 1., Financial Statements, Note 11 - Commitments and Contingencies, to the unaudited condensed consolidated financial statements included in Part I, Item 1 of this Form 10-Q.</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27, 2024,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 except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40" w:type="dxa"/>
            <w:vAlign w:val="bottom"/>
            <w:tcBorders>
              <w:bottom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Plan Arrangement</w:t>
            </w:r>
          </w:p>
        </w:tc>
        <w:tc>
          <w:tcPr>
            <w:tcW w:w="22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7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Rule 10b5-1(c)</w:t>
            </w:r>
          </w:p>
        </w:tc>
        <w:tc>
          <w:tcPr>
            <w:tcW w:w="9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Non-Rule</w:t>
            </w:r>
          </w:p>
        </w:tc>
        <w:tc>
          <w:tcPr>
            <w:tcW w:w="2200" w:type="dxa"/>
            <w:vAlign w:val="bottom"/>
            <w:vMerge w:val="continue"/>
          </w:tcPr>
          <w:p>
            <w:pPr>
              <w:spacing w:after="0"/>
              <w:rPr>
                <w:sz w:val="11"/>
                <w:szCs w:val="11"/>
                <w:color w:val="auto"/>
              </w:rPr>
            </w:pPr>
          </w:p>
        </w:tc>
        <w:tc>
          <w:tcPr>
            <w:tcW w:w="17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Plan Expiration Date</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10b5-1</w:t>
            </w:r>
          </w:p>
        </w:tc>
        <w:tc>
          <w:tcPr>
            <w:tcW w:w="2200" w:type="dxa"/>
            <w:vAlign w:val="bottom"/>
            <w:tcBorders>
              <w:bottom w:val="single" w:sz="8" w:color="auto"/>
            </w:tcBorders>
          </w:tcPr>
          <w:p>
            <w:pPr>
              <w:jc w:val="center"/>
              <w:ind w:left="128"/>
              <w:spacing w:after="0" w:line="189" w:lineRule="exact"/>
              <w:rPr>
                <w:sz w:val="20"/>
                <w:szCs w:val="20"/>
                <w:color w:val="auto"/>
              </w:rPr>
            </w:pPr>
            <w:r>
              <w:rPr>
                <w:rFonts w:ascii="Times New Roman" w:cs="Times New Roman" w:eastAsia="Times New Roman" w:hAnsi="Times New Roman"/>
                <w:sz w:val="14"/>
                <w:szCs w:val="14"/>
                <w:b w:val="1"/>
                <w:bCs w:val="1"/>
                <w:color w:val="auto"/>
              </w:rPr>
              <w:t>Securities to be Sold</w:t>
            </w:r>
            <w:r>
              <w:rPr>
                <w:rFonts w:ascii="Times New Roman" w:cs="Times New Roman" w:eastAsia="Times New Roman" w:hAnsi="Times New Roman"/>
                <w:sz w:val="19"/>
                <w:szCs w:val="19"/>
                <w:b w:val="1"/>
                <w:bCs w:val="1"/>
                <w:color w:val="auto"/>
                <w:vertAlign w:val="superscript"/>
              </w:rPr>
              <w:t>(2)</w:t>
            </w: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60" w:type="dxa"/>
            <w:vAlign w:val="bottom"/>
            <w:shd w:val="clear" w:color="auto" w:fill="CAEEFB"/>
          </w:tcPr>
          <w:p>
            <w:pPr>
              <w:ind w:left="20"/>
              <w:spacing w:after="0" w:line="133" w:lineRule="exact"/>
              <w:rPr>
                <w:sz w:val="20"/>
                <w:szCs w:val="20"/>
                <w:color w:val="auto"/>
              </w:rPr>
            </w:pPr>
            <w:r>
              <w:rPr>
                <w:rFonts w:ascii="Times New Roman" w:cs="Times New Roman" w:eastAsia="Times New Roman" w:hAnsi="Times New Roman"/>
                <w:sz w:val="12"/>
                <w:szCs w:val="12"/>
                <w:color w:val="auto"/>
              </w:rPr>
              <w:t>Mitchell B. Goldsteen</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tc>
        <w:tc>
          <w:tcPr>
            <w:tcW w:w="156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Adoption</w:t>
            </w:r>
          </w:p>
        </w:tc>
        <w:tc>
          <w:tcPr>
            <w:tcW w:w="1720" w:type="dxa"/>
            <w:vAlign w:val="bottom"/>
            <w:vMerge w:val="restart"/>
            <w:shd w:val="clear" w:color="auto" w:fill="CAEEFB"/>
          </w:tcPr>
          <w:p>
            <w:pPr>
              <w:jc w:val="right"/>
              <w:ind w:right="508"/>
              <w:spacing w:after="0"/>
              <w:rPr>
                <w:sz w:val="20"/>
                <w:szCs w:val="20"/>
                <w:color w:val="auto"/>
              </w:rPr>
            </w:pPr>
            <w:r>
              <w:rPr>
                <w:rFonts w:ascii="Times New Roman" w:cs="Times New Roman" w:eastAsia="Times New Roman" w:hAnsi="Times New Roman"/>
                <w:sz w:val="14"/>
                <w:szCs w:val="14"/>
                <w:color w:val="auto"/>
              </w:rPr>
              <w:t>08/20/2024</w:t>
            </w:r>
          </w:p>
        </w:tc>
        <w:tc>
          <w:tcPr>
            <w:tcW w:w="110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vMerge w:val="restart"/>
            <w:shd w:val="clear" w:color="auto" w:fill="CAEEFB"/>
          </w:tcPr>
          <w:p>
            <w:pPr>
              <w:jc w:val="center"/>
              <w:ind w:left="108"/>
              <w:spacing w:after="0"/>
              <w:rPr>
                <w:sz w:val="20"/>
                <w:szCs w:val="20"/>
                <w:color w:val="auto"/>
              </w:rPr>
            </w:pPr>
            <w:r>
              <w:rPr>
                <w:rFonts w:ascii="Times New Roman" w:cs="Times New Roman" w:eastAsia="Times New Roman" w:hAnsi="Times New Roman"/>
                <w:sz w:val="14"/>
                <w:szCs w:val="14"/>
                <w:color w:val="auto"/>
              </w:rPr>
              <w:t>1,300,000</w:t>
            </w:r>
          </w:p>
        </w:tc>
        <w:tc>
          <w:tcPr>
            <w:tcW w:w="176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08/01/2025</w:t>
            </w:r>
          </w:p>
        </w:tc>
        <w:tc>
          <w:tcPr>
            <w:tcW w:w="0" w:type="dxa"/>
            <w:vAlign w:val="bottom"/>
          </w:tcPr>
          <w:p>
            <w:pPr>
              <w:spacing w:after="0"/>
              <w:rPr>
                <w:sz w:val="1"/>
                <w:szCs w:val="1"/>
                <w:color w:val="auto"/>
              </w:rPr>
            </w:pPr>
          </w:p>
        </w:tc>
      </w:tr>
      <w:tr>
        <w:trPr>
          <w:trHeight w:val="185"/>
        </w:trPr>
        <w:tc>
          <w:tcPr>
            <w:tcW w:w="196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4"/>
                <w:szCs w:val="14"/>
                <w:color w:val="auto"/>
              </w:rPr>
              <w:t>Executive Chairman</w:t>
            </w:r>
          </w:p>
        </w:tc>
        <w:tc>
          <w:tcPr>
            <w:tcW w:w="1560" w:type="dxa"/>
            <w:vAlign w:val="bottom"/>
            <w:vMerge w:val="continue"/>
            <w:shd w:val="clear" w:color="auto" w:fill="CAEEFB"/>
          </w:tcPr>
          <w:p>
            <w:pPr>
              <w:spacing w:after="0"/>
              <w:rPr>
                <w:sz w:val="16"/>
                <w:szCs w:val="16"/>
                <w:color w:val="auto"/>
              </w:rPr>
            </w:pPr>
          </w:p>
        </w:tc>
        <w:tc>
          <w:tcPr>
            <w:tcW w:w="1720" w:type="dxa"/>
            <w:vAlign w:val="bottom"/>
            <w:vMerge w:val="continue"/>
            <w:shd w:val="clear" w:color="auto" w:fill="CAEEFB"/>
          </w:tcPr>
          <w:p>
            <w:pPr>
              <w:spacing w:after="0"/>
              <w:rPr>
                <w:sz w:val="16"/>
                <w:szCs w:val="16"/>
                <w:color w:val="auto"/>
              </w:rPr>
            </w:pPr>
          </w:p>
        </w:tc>
        <w:tc>
          <w:tcPr>
            <w:tcW w:w="1100" w:type="dxa"/>
            <w:vAlign w:val="bottom"/>
            <w:vMerge w:val="continue"/>
            <w:shd w:val="clear" w:color="auto" w:fill="CAEEFB"/>
          </w:tcPr>
          <w:p>
            <w:pPr>
              <w:spacing w:after="0"/>
              <w:rPr>
                <w:sz w:val="16"/>
                <w:szCs w:val="16"/>
                <w:color w:val="auto"/>
              </w:rPr>
            </w:pPr>
          </w:p>
        </w:tc>
        <w:tc>
          <w:tcPr>
            <w:tcW w:w="940" w:type="dxa"/>
            <w:vAlign w:val="bottom"/>
            <w:vMerge w:val="continue"/>
            <w:shd w:val="clear" w:color="auto" w:fill="CAEEFB"/>
          </w:tcPr>
          <w:p>
            <w:pPr>
              <w:spacing w:after="0"/>
              <w:rPr>
                <w:sz w:val="16"/>
                <w:szCs w:val="16"/>
                <w:color w:val="auto"/>
              </w:rPr>
            </w:pPr>
          </w:p>
        </w:tc>
        <w:tc>
          <w:tcPr>
            <w:tcW w:w="2200" w:type="dxa"/>
            <w:vAlign w:val="bottom"/>
            <w:vMerge w:val="continue"/>
            <w:shd w:val="clear" w:color="auto" w:fill="CAEEFB"/>
          </w:tcPr>
          <w:p>
            <w:pPr>
              <w:spacing w:after="0"/>
              <w:rPr>
                <w:sz w:val="16"/>
                <w:szCs w:val="16"/>
                <w:color w:val="auto"/>
              </w:rPr>
            </w:pPr>
          </w:p>
        </w:tc>
        <w:tc>
          <w:tcPr>
            <w:tcW w:w="1760" w:type="dxa"/>
            <w:vAlign w:val="bottom"/>
            <w:vMerge w:val="continue"/>
            <w:shd w:val="clear" w:color="auto" w:fill="CAEEFB"/>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Goldsteen entered into his Rule 10b5-1 trading arrangement, dated August 20, 2024, through GOHO LLC, an entity which he controls.</w:t>
      </w:r>
    </w:p>
    <w:p>
      <w:pPr>
        <w:spacing w:after="0" w:line="27" w:lineRule="exact"/>
        <w:rPr>
          <w:rFonts w:ascii="Times New Roman" w:cs="Times New Roman" w:eastAsia="Times New Roman" w:hAnsi="Times New Roman"/>
          <w:sz w:val="18"/>
          <w:szCs w:val="18"/>
          <w:color w:val="auto"/>
        </w:rPr>
      </w:pPr>
    </w:p>
    <w:p>
      <w:pPr>
        <w:ind w:right="8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shares of common stock to be sold in any three-month period is 325,000 shares. No sales of securities occurred during the fiscal quarter ended September 27,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700" w:type="dxa"/>
            <w:vAlign w:val="bottom"/>
            <w:gridSpan w:val="7"/>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770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10180" w:type="dxa"/>
            <w:vAlign w:val="bottom"/>
            <w:gridSpan w:val="9"/>
          </w:tcPr>
          <w:p>
            <w:pPr>
              <w:spacing w:after="0" w:line="169"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Amendment No. 5 to Credit, Security and Guaranty Agreement, dated September 25, 2024, by and among Shimmick Construction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Company, Inc., Rust Constructors Inc., The Leasing Corporation, SCCI National Holdings, Inc., MidCap Funding IV Trust and other parties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thereto (incorporated by reference to Exhibit 10.1 to the Company’s Current Report on Form 8-K filed on September 26,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0180" w:type="dxa"/>
            <w:vAlign w:val="bottom"/>
            <w:gridSpan w:val="9"/>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Amendment No. 1 to Credit, Security and Guaranty Agreement, dated September 25, 2024, by and among Shimmick Construction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4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thereunder, and the lenders time to time party thereto (incorporated by reference to Exhibit 10.2 to the Company’s Current Report on Form</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8-K filed on September 26,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68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20" w:type="dxa"/>
            <w:vAlign w:val="bottom"/>
            <w:gridSpan w:val="7"/>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420" w:firstLine="21"/>
        <w:spacing w:after="0" w:line="380" w:lineRule="auto"/>
        <w:tabs>
          <w:tab w:leader="none" w:pos="10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2344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Shimmick Corporation</w:t>
      </w:r>
    </w:p>
    <w:p>
      <w:pPr>
        <w:spacing w:after="0" w:line="279"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Mobley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Amanda Mobley</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97" w:right="5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Richards,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424"/>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Mobley,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Amanda Mobley</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Amanda Mobley</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r>
        <w:trPr>
          <w:trHeight w:val="1208"/>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period ended September 27,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E. Richards</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Steven E. Richards</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208"/>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Shimmick Corporation (the “Company”) on Form 10-Q for the period ended September 27,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Amanda Mobley</w:t>
            </w:r>
          </w:p>
        </w:tc>
      </w:tr>
      <w:tr>
        <w:trPr>
          <w:trHeight w:val="205"/>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Amanda Mobley</w:t>
            </w: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r>
        <w:trPr>
          <w:trHeight w:val="1424"/>
        </w:trPr>
        <w:tc>
          <w:tcPr>
            <w:tcW w:w="3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15" Type="http://schemas.openxmlformats.org/officeDocument/2006/relationships/hyperlink" Target="https://www.sec.gov/Archives/edgar/data/1887944/000095017024109469/shim-ex10_1.htm" TargetMode="External"/><Relationship Id="rId316" Type="http://schemas.openxmlformats.org/officeDocument/2006/relationships/hyperlink" Target="https://www.sec.gov/Archives/edgar/data/1887944/000095017024109469/shi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2024-11-12T09:06:34Z</dcterms:created>
  <dcterms:modified xsi:type="dcterms:W3CDTF">2024-11-12T09:06:34Z</dcterms:modified>
</cp:coreProperties>
</file>