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him-20260810.htm"/>
      <w:bookmarkStart w:id="1" w:name="ksshim2026081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p>
      <w:pPr>
        <w:pStyle w:val="TextBody"/>
        <w:bidi w:val="0"/>
        <w:spacing w:before="160" w:after="283"/>
        <w:jc w:val="center"/>
        <w:rPr>
          <w:rFonts w:ascii="Times New Roman" w:hAnsi="Times New Roman"/>
          <w:sz w:val="20"/>
        </w:rPr>
      </w:pPr>
      <w:r>
        <w:rPr>
          <w:rFonts w:ascii="Times New Roman" w:hAnsi="Times New Roman"/>
          <w:b/>
          <w:color w:val="000000"/>
          <w:sz w:val="48"/>
        </w:rPr>
        <w:t>Shimmick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001-41867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84-3749368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530 Technology Drive</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Registrant’s Telephone Number, Including Area Code: (833) 723-2021</w:t>
      </w:r>
    </w:p>
    <w:p>
      <w:pPr>
        <w:pStyle w:val="TextBody"/>
        <w:bidi w:val="0"/>
        <w:spacing w:before="16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SHIM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10, 2026, Shimmick Corporation (the "Company") issued a press release announcing financial results for the second quarter ended July 3, 2026. A copy of this press release ("Earnings Release") is furnished with this Current Report on Form 8-K as Exhibit 99.1.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Item 2.02 and Exhibit 99.1 attached hereto is being furnished pursuant to Item 2.02 and shall not be deemed “filed” for purposes of Section 18 of the Securities Exchange Act of 1934, as amended (the “Exchange Act”), or otherwise subject to the liabilities of that section, nor shall it be deemed incorporated by reference in any registration statement or other filing under the Securities Act of 1933, as amended, or the Exchange Act, except as shall be expressly set forth by specific reference in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includes backlog and new awards data in the Earnings Release. Backlog is a measure of the total dollar value of work to be performed on contracts awarded and in progress. While backlog reflects work that is considered firm, cancellations, deferrals or scope adjustments may occur. Backlog is adjusted to reflect any known project cancellations, revisions to project scope and cost, and project deferrals. New awards measure the total dollar value of work to be performed on contracts executed in the period. Contracts that are in the process of negotiation or execution with the customer are not included and are recorded in the quarter they are executed.</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pPr>
      <w:r>
        <w:rPr/>
        <w:t> </w:t>
      </w:r>
    </w:p>
    <w:p>
      <w:pPr>
        <w:pStyle w:val="TextBody"/>
        <w:bidi w:val="0"/>
        <w:jc w:val="left"/>
        <w:rPr/>
      </w:pPr>
      <w:r>
        <w:rPr/>
        <w:t> </w:t>
      </w:r>
    </w:p>
    <w:tbl>
      <w:tblPr>
        <w:tblW w:w="9763" w:type="dxa"/>
        <w:jc w:val="left"/>
        <w:tblInd w:w="0" w:type="dxa"/>
        <w:tblLayout w:type="fixed"/>
        <w:tblCellMar>
          <w:top w:w="28" w:type="dxa"/>
          <w:left w:w="28" w:type="dxa"/>
          <w:bottom w:w="28" w:type="dxa"/>
          <w:right w:w="28" w:type="dxa"/>
        </w:tblCellMar>
      </w:tblPr>
      <w:tblGrid>
        <w:gridCol w:w="706"/>
        <w:gridCol w:w="146"/>
        <w:gridCol w:w="891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99_1.htm">
              <w:r>
                <w:rPr>
                  <w:rStyle w:val="InternetLink"/>
                  <w:rFonts w:ascii="Times New Roman" w:hAnsi="Times New Roman"/>
                  <w:color w:val="0000FF"/>
                  <w:sz w:val="20"/>
                  <w:u w:val="single"/>
                </w:rPr>
                <w:t>Press Release</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as Exhibit 101</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1951"/>
        <w:gridCol w:w="109"/>
        <w:gridCol w:w="406"/>
        <w:gridCol w:w="528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Corporation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bookmarkStart w:id="2" w:name="shim-ex99_1.htm"/>
      <w:bookmarkStart w:id="3" w:name="ksshimex99_1"/>
      <w:bookmarkEnd w:id="2"/>
      <w:bookmarkEnd w:id="3"/>
      <w:r>
        <w:rPr/>
        <w:t> </w:t>
      </w:r>
      <w:r>
        <w:br w:type="page"/>
      </w:r>
    </w:p>
    <w:p>
      <w:pPr>
        <w:pStyle w:val="TextBody"/>
        <w:bidi w:val="0"/>
        <w:spacing w:before="0" w:after="200"/>
        <w:jc w:val="right"/>
        <w:rPr>
          <w:rFonts w:ascii="sans-serif" w:hAnsi="sans-serif"/>
          <w:b/>
          <w:color w:val="000000"/>
          <w:sz w:val="22"/>
        </w:rPr>
      </w:pPr>
      <w:r>
        <w:rPr>
          <w:rFonts w:ascii="sans-serif" w:hAnsi="sans-serif"/>
          <w:b/>
          <w:color w:val="000000"/>
          <w:sz w:val="22"/>
        </w:rPr>
        <w:t>Exhibit 99.1</w:t>
      </w:r>
    </w:p>
    <w:p>
      <w:pPr>
        <w:pStyle w:val="TextBody"/>
        <w:bidi w:val="0"/>
        <w:jc w:val="center"/>
        <w:rPr>
          <w:rFonts w:ascii="Times New Roman" w:hAnsi="Times New Roman"/>
          <w:sz w:val="20"/>
        </w:rPr>
      </w:pPr>
      <w:r>
        <w:rPr>
          <w:rFonts w:ascii="sans-serif" w:hAnsi="sans-serif"/>
          <w:b/>
          <w:color w:val="000000"/>
          <w:sz w:val="28"/>
        </w:rPr>
        <w:t>Shimmick Corporation Announces Second Quarter 2026 Results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Irvine, CA, August 10, 2026 – Shimmick Corp. (NASDAQ: SHIM), a leading infrastructure solutions provider in water, electrical and other critical infrastructure construction services, today announced financial results for the second quarter ended July 3,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u w:val="single"/>
        </w:rPr>
        <w:t>Highlights</w:t>
      </w:r>
      <w:r>
        <w:rPr>
          <w:rFonts w:ascii="Times New Roman" w:hAnsi="Times New Roman"/>
          <w:color w:val="FF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Reported Q2 2026 revenue of $107 million, $96 million of which was driven by Shimmick Projects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Reported Q2 2026 gross margin of $12 million, $11 million of which was driven by Shimmick Projects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Total Q2 2026 gross margin up 53% quarter-over-quarter</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Recognized a Q2 2026 net loss of $5 million, which is favorable quarter-over-quarter by $4 million.</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Reported Q2 2026 Adjusted EBITDA of $4 million, our fourth consecutive quarter with positive Adjusted EBITDA</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Reported liquidity of $33 million as of July 3, 2026 versus reported liquidity of $34 million as of April 3, 2026</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Backlog is approximately $991 million as of July 3, 2026, our highest backlog reported since Q1 2024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Q2 2026 Book-to-burn ratio of 1.4x, our fourth consecutive quarter with a book-to-burn ratio &gt; 1.0</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$138 million in new work was booked in Q2 2026, with Shimmick Projects now representing over 97% of total backlog</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$221 million in additional new awards pending in water and electrical target markets primarily located in California and Texas</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"We continue to execute a disciplined strategy — winning the right projects, in the right markets, at the right risk profile — while building the foundation for substantial growth ahead,” said Ural Yal, Chief Executive Officer of Shimmick. “Operational performance across the business remains consistent and strong, reinforcing our confidence as we look out over the next 12 to 18 months. With record backlog and favorable market conditions, we're well positioned to drive strong revenue growth and continued momentum.”</w:t>
      </w:r>
    </w:p>
    <w:p>
      <w:pPr>
        <w:pStyle w:val="TextBody"/>
        <w:bidi w:val="0"/>
        <w:jc w:val="both"/>
        <w:rPr/>
      </w:pPr>
      <w:r>
        <w:rPr/>
        <w:t> </w:t>
      </w:r>
    </w:p>
    <w:p>
      <w:pPr>
        <w:pStyle w:val="TextBody"/>
        <w:bidi w:val="0"/>
        <w:jc w:val="both"/>
        <w:rPr>
          <w:rFonts w:ascii="sans-serif" w:hAnsi="sans-serif"/>
          <w:b/>
          <w:color w:val="000000"/>
          <w:sz w:val="22"/>
          <w:u w:val="single"/>
        </w:rPr>
      </w:pPr>
      <w:r>
        <w:rPr>
          <w:rFonts w:ascii="sans-serif" w:hAnsi="sans-serif"/>
          <w:b/>
          <w:color w:val="000000"/>
          <w:sz w:val="22"/>
          <w:u w:val="single"/>
        </w:rPr>
        <w:t>Financial Results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 summary of our results is included in the table below:</w:t>
      </w:r>
    </w:p>
    <w:p>
      <w:pPr>
        <w:pStyle w:val="TextBody"/>
        <w:bidi w:val="0"/>
        <w:jc w:val="both"/>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18"/>
        <w:gridCol w:w="283"/>
        <w:gridCol w:w="697"/>
        <w:gridCol w:w="173"/>
        <w:gridCol w:w="152"/>
        <w:gridCol w:w="283"/>
        <w:gridCol w:w="697"/>
        <w:gridCol w:w="166"/>
        <w:gridCol w:w="146"/>
        <w:gridCol w:w="283"/>
        <w:gridCol w:w="697"/>
        <w:gridCol w:w="166"/>
        <w:gridCol w:w="146"/>
        <w:gridCol w:w="283"/>
        <w:gridCol w:w="697"/>
        <w:gridCol w:w="218"/>
      </w:tblGrid>
      <w:tr>
        <w:trPr/>
        <w:tc>
          <w:tcPr>
            <w:tcW w:w="511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millions, except per share data)</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 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 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loss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loss per common share attributable to Shimmick Corporation</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diluted loss per common share attributable to Shimmick Corporation</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left"/>
        <w:rPr>
          <w:rFonts w:ascii="sans-serif" w:hAnsi="sans-serif"/>
          <w:color w:val="000000"/>
          <w:sz w:val="22"/>
        </w:rPr>
      </w:pPr>
      <w:r>
        <w:rPr>
          <w:rFonts w:ascii="sans-serif" w:hAnsi="sans-serif"/>
          <w:color w:val="000000"/>
          <w:sz w:val="22"/>
        </w:rPr>
        <w:t>The following table sets forth selected revenue and gross margin data for the three months ended July 3, 2026 compared to the three months ended July 4, 2025:</w:t>
      </w:r>
    </w:p>
    <w:p>
      <w:pPr>
        <w:pStyle w:val="TextBody"/>
        <w:bidi w:val="0"/>
        <w:jc w:val="both"/>
        <w:rPr/>
      </w:pPr>
      <w:r>
        <w:rPr/>
        <w:t> </w:t>
      </w:r>
    </w:p>
    <w:tbl>
      <w:tblPr>
        <w:tblW w:w="8498" w:type="dxa"/>
        <w:jc w:val="left"/>
        <w:tblInd w:w="0" w:type="dxa"/>
        <w:tblLayout w:type="fixed"/>
        <w:tblCellMar>
          <w:top w:w="28" w:type="dxa"/>
          <w:left w:w="28" w:type="dxa"/>
          <w:bottom w:w="28" w:type="dxa"/>
          <w:right w:w="28" w:type="dxa"/>
        </w:tblCellMar>
      </w:tblPr>
      <w:tblGrid>
        <w:gridCol w:w="2791"/>
        <w:gridCol w:w="349"/>
        <w:gridCol w:w="671"/>
        <w:gridCol w:w="256"/>
        <w:gridCol w:w="146"/>
        <w:gridCol w:w="349"/>
        <w:gridCol w:w="671"/>
        <w:gridCol w:w="316"/>
        <w:gridCol w:w="146"/>
        <w:gridCol w:w="349"/>
        <w:gridCol w:w="671"/>
        <w:gridCol w:w="256"/>
        <w:gridCol w:w="146"/>
        <w:gridCol w:w="349"/>
        <w:gridCol w:w="671"/>
        <w:gridCol w:w="361"/>
      </w:tblGrid>
      <w:tr>
        <w:trPr/>
        <w:tc>
          <w:tcPr>
            <w:tcW w:w="279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millions, except percentage data)</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 2025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Shimmick Projects</w:t>
            </w:r>
            <w:r>
              <w:rPr>
                <w:rFonts w:ascii="Times New Roman" w:hAnsi="Times New Roman"/>
                <w:b/>
                <w:color w:val="000000"/>
                <w:sz w:val="12"/>
              </w:rPr>
              <w:t>(1)</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Non-Core Projects</w:t>
            </w:r>
            <w:r>
              <w:rPr>
                <w:rFonts w:ascii="Times New Roman" w:hAnsi="Times New Roman"/>
                <w:b/>
                <w:color w:val="000000"/>
                <w:sz w:val="12"/>
              </w:rPr>
              <w:t>(2)</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Consolidated Total</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(1) Shimmick Projects are those projects started after prior ownership that have focused on water, climate resilience, energy transition, and sustainable transportation.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(2) Projects that started under prior ownership or focus on foundation drilling are referred to as "Non-Core Projects" (formerly referred to as "Legacy and Foundations Projects").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231F20"/>
          <w:sz w:val="22"/>
        </w:rPr>
        <w:t>Shimmick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2"/>
        </w:rPr>
        <w:t>Projects started after the AECOM Sale Transaction ("Shimmick Projects") have focused on critical infrastructure aligned with our strategy, including water, climate resilience, energy transition and sustainable transportation. Revenue recognized on Shimmick Projects was $96 million and $113 million for the three months ended July 3, 2026 and July 4, 2025, respectively. The $17 million decrease in revenue was primarily the result of a $22 million decrease in revenue as the result of the completion of a lower margin operation and maintenance project during the third quarter of fiscal year 2025 and $32 million of decreases in revenue from lower activity on existing projects and projects winding down. These decreases were partially offset by $37 million of increases in revenue from new higher margin projects ramping up.</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2"/>
        </w:rPr>
        <w:t>Gross margin recognized on Shimmick Projects was $11 million and $15 million for the three months ended July 3, 2026 and July 4, 2025, respectively. The $4 million decrease in gross margin was primarily the result of $12 million of decreases in gross margin from lower activity on existing projects and</w:t>
      </w:r>
      <w:r>
        <w:rPr>
          <w:rFonts w:ascii="Times New Roman" w:hAnsi="Times New Roman"/>
          <w:color w:val="231F2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projects winding down, partially offset by $8 million of increases in gross margin from new higher margin projects ramping up.</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231F20"/>
          <w:sz w:val="22"/>
        </w:rPr>
        <w:t>Non-Core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2"/>
        </w:rPr>
        <w:t>As part of the AECOM Sale Transaction, we acquired projects and backlog that were started under prior ownership (formerly referred to as "Legacy and Foundations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2"/>
        </w:rPr>
        <w:t>Non-Core Projects revenue was $11 million and $16 million for the three months ended July 3, 2026 and July 4, 2025, respectively. The $5 million decrease was primarily the result of the Company working to wind down these Non-Core projects as well as the termination of one Non-Core project in Tennessee.</w:t>
      </w:r>
      <w:r>
        <w:rPr>
          <w:rFonts w:ascii="Times New Roman" w:hAnsi="Times New Roman"/>
          <w:color w:val="231F20"/>
          <w:sz w:val="20"/>
        </w:rPr>
        <w:t xml:space="preserve"> </w:t>
      </w:r>
    </w:p>
    <w:p>
      <w:pPr>
        <w:pStyle w:val="TextBody"/>
        <w:bidi w:val="0"/>
        <w:jc w:val="left"/>
        <w:rPr>
          <w:rFonts w:ascii="sans-serif" w:hAnsi="sans-serif"/>
          <w:color w:val="231F20"/>
          <w:sz w:val="22"/>
        </w:rPr>
      </w:pPr>
      <w:r>
        <w:rPr>
          <w:rFonts w:ascii="sans-serif" w:hAnsi="sans-serif"/>
          <w:color w:val="231F20"/>
          <w:sz w:val="22"/>
        </w:rPr>
        <w:t>Gross margin recognized on Non-Core Projects was $2 million for the three months ended July 3, 2026 as compared to $(7) million for the three months ended July 4, 2025. The $9 million increase was primarily the result of certain time and design-related schedule extensions identified during the three months ended July 4, 2025 which did not reoccur during the three months ended July 3, 2026 as well as a favorable settlement and closeout of other Non-Core projects in the current year.</w:t>
      </w:r>
    </w:p>
    <w:p>
      <w:pPr>
        <w:pStyle w:val="TextBody"/>
        <w:bidi w:val="0"/>
        <w:jc w:val="left"/>
        <w:rPr>
          <w:rFonts w:ascii="sans-serif" w:hAnsi="sans-serif"/>
          <w:color w:val="231F20"/>
          <w:sz w:val="22"/>
        </w:rPr>
      </w:pPr>
      <w:r>
        <w:rPr>
          <w:rFonts w:ascii="sans-serif" w:hAnsi="sans-serif"/>
          <w:color w:val="231F20"/>
          <w:sz w:val="22"/>
        </w:rPr>
        <w:t>A subset of Non-Core Projects ("Non-Core Loss Projects") has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absent external factors and in some cases, there may be additional costs associated with these projects that could lower gross margin. Revenue recognized on these Non-Core Loss Projects was $10 million and $13 million for the three months ended July 3, 2026 and July 4, 2025, respectively. Gross margin recognized on these Non-Core Loss Projects was $1 million and $(3) million for the three months ended July 3, 2026 and July 4, 2025, respectively. The change in gross margin was primarily the result of cost increases for time and design-related schedule extensions identified during the three months ended July 4, 2025 which did not reoccur during the three months ended July 3, 2026.</w:t>
      </w:r>
    </w:p>
    <w:p>
      <w:pPr>
        <w:pStyle w:val="TextBody"/>
        <w:bidi w:val="0"/>
        <w:jc w:val="left"/>
        <w:rPr>
          <w:rFonts w:ascii="sans-serif" w:hAnsi="sans-serif"/>
          <w:i/>
          <w:color w:val="231F20"/>
          <w:sz w:val="22"/>
        </w:rPr>
      </w:pPr>
      <w:r>
        <w:rPr>
          <w:rFonts w:ascii="sans-serif" w:hAnsi="sans-serif"/>
          <w:i/>
          <w:color w:val="231F20"/>
          <w:sz w:val="22"/>
        </w:rPr>
        <w:t>Selling, general and administrative expenses</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Selling, general and administrative expenses increased by $1 million during the three months ended July 3, 2026 primarily as a result of increases in legal costs.</w:t>
      </w:r>
    </w:p>
    <w:p>
      <w:pPr>
        <w:pStyle w:val="TextBody"/>
        <w:bidi w:val="0"/>
        <w:jc w:val="left"/>
        <w:rPr/>
      </w:pPr>
      <w:r>
        <w:rPr/>
        <w:t> </w:t>
      </w:r>
    </w:p>
    <w:p>
      <w:pPr>
        <w:pStyle w:val="TextBody"/>
        <w:bidi w:val="0"/>
        <w:jc w:val="left"/>
        <w:rPr>
          <w:rFonts w:ascii="sans-serif" w:hAnsi="sans-serif"/>
          <w:i/>
          <w:color w:val="231F20"/>
          <w:sz w:val="22"/>
        </w:rPr>
      </w:pPr>
      <w:r>
        <w:rPr>
          <w:rFonts w:ascii="sans-serif" w:hAnsi="sans-serif"/>
          <w:i/>
          <w:color w:val="231F20"/>
          <w:sz w:val="22"/>
        </w:rPr>
        <w:t>Equity in earnings (loss) of unconsolidated joint ventures</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Equity in earnings (loss) of unconsolidated joint ventures increased by $1 million during the three months ended July 3, 2026 primarily as the result of an increase in activity on a dam project in the current year as well cost increases incurred on a transit project during the three months ended July 4, 2025 which did not reoccur during the three months ended July 3, 2026.</w:t>
      </w:r>
    </w:p>
    <w:p>
      <w:pPr>
        <w:pStyle w:val="TextBody"/>
        <w:bidi w:val="0"/>
        <w:jc w:val="left"/>
        <w:rPr>
          <w:rFonts w:ascii="sans-serif" w:hAnsi="sans-serif"/>
          <w:i/>
          <w:color w:val="231F20"/>
          <w:sz w:val="22"/>
        </w:rPr>
      </w:pPr>
      <w:r>
        <w:rPr>
          <w:rFonts w:ascii="sans-serif" w:hAnsi="sans-serif"/>
          <w:i/>
          <w:color w:val="231F20"/>
          <w:sz w:val="22"/>
        </w:rPr>
        <w:t>Gain on sale of assets, net</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Gain on sale of assets, net remained approximately flat period over period.</w:t>
      </w:r>
    </w:p>
    <w:p>
      <w:pPr>
        <w:pStyle w:val="TextBody"/>
        <w:bidi w:val="0"/>
        <w:spacing w:before="240" w:after="283"/>
        <w:jc w:val="center"/>
        <w:rPr>
          <w:rFonts w:ascii="sans-serif" w:hAnsi="sans-serif"/>
          <w:color w:val="000000"/>
          <w:sz w:val="22"/>
        </w:rPr>
      </w:pPr>
      <w:r>
        <w:rPr>
          <w:rFonts w:ascii="sans-serif" w:hAnsi="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i/>
          <w:color w:val="231F20"/>
          <w:sz w:val="22"/>
        </w:rPr>
      </w:pPr>
      <w:r>
        <w:rPr>
          <w:rFonts w:ascii="sans-serif" w:hAnsi="sans-serif"/>
          <w:i/>
          <w:color w:val="231F20"/>
          <w:sz w:val="22"/>
        </w:rPr>
        <w:t>Interest expense</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Interest expense increased by $1 million during the three months ended July 3, 2026 primarily due to increased average long-term debt balances outstanding during the three months ended July 3, 2026 as compared to the three months ended July 4, 2025.</w:t>
      </w:r>
    </w:p>
    <w:p>
      <w:pPr>
        <w:pStyle w:val="TextBody"/>
        <w:bidi w:val="0"/>
        <w:jc w:val="left"/>
        <w:rPr>
          <w:rFonts w:ascii="sans-serif" w:hAnsi="sans-serif"/>
          <w:i/>
          <w:color w:val="231F20"/>
          <w:sz w:val="22"/>
        </w:rPr>
      </w:pPr>
      <w:r>
        <w:rPr>
          <w:rFonts w:ascii="sans-serif" w:hAnsi="sans-serif"/>
          <w:i/>
          <w:color w:val="231F20"/>
          <w:sz w:val="22"/>
        </w:rPr>
        <w:t>Other expense (income), net</w:t>
      </w:r>
    </w:p>
    <w:p>
      <w:pPr>
        <w:pStyle w:val="TextBody"/>
        <w:bidi w:val="0"/>
        <w:jc w:val="left"/>
        <w:rPr>
          <w:rFonts w:ascii="sans-serif" w:hAnsi="sans-serif"/>
          <w:color w:val="231F20"/>
          <w:sz w:val="22"/>
        </w:rPr>
      </w:pPr>
      <w:r>
        <w:rPr>
          <w:rFonts w:ascii="sans-serif" w:hAnsi="sans-serif"/>
          <w:color w:val="231F20"/>
          <w:sz w:val="22"/>
        </w:rPr>
        <w:t>Other expense (income), net remained approximately flat period over period.</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231F20"/>
          <w:sz w:val="22"/>
        </w:rPr>
        <w:t>Income tax expense</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Due to an expected tax loss for the fiscal year ending 2026 and a realized tax loss for the fiscal year ended 2025, no income tax expense was recorded for either the three months ended July 3, 2026 or the three months ended July 4, 2025.</w:t>
      </w:r>
    </w:p>
    <w:p>
      <w:pPr>
        <w:pStyle w:val="TextBody"/>
        <w:bidi w:val="0"/>
        <w:jc w:val="left"/>
        <w:rPr/>
      </w:pPr>
      <w:r>
        <w:rPr/>
        <w:t> </w:t>
      </w:r>
    </w:p>
    <w:p>
      <w:pPr>
        <w:pStyle w:val="TextBody"/>
        <w:bidi w:val="0"/>
        <w:jc w:val="left"/>
        <w:rPr>
          <w:rFonts w:ascii="sans-serif" w:hAnsi="sans-serif"/>
          <w:i/>
          <w:color w:val="231F20"/>
          <w:sz w:val="22"/>
        </w:rPr>
      </w:pPr>
      <w:r>
        <w:rPr>
          <w:rFonts w:ascii="sans-serif" w:hAnsi="sans-serif"/>
          <w:i/>
          <w:color w:val="231F20"/>
          <w:sz w:val="22"/>
        </w:rPr>
        <w:t>Net loss</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Net loss decreased by $4 million to a net loss of $5 million for the three months ended July 3, 2026, primarily due to an increase in gross margin of $4 million and an increase in equity in earnings (loss) of unconsolidated joint ventures of $1 million, partially offset by an increase in interest expense of $1 million and an increase in selling, general and administrative expenses of $1 million, all as described above.</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Diluted loss per common share attributable to Shimmick Corporation was $(0.12) for the three months ended July 3, 2026, compared to diluted loss per common share of $(0.25) for the three months ended July 4, 2025.</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Adjusted net loss was $(0.5) million for the three months ended July 3, 2026, compared to adjusted net loss of $(5) million for the three months ended July 4, 2025.</w:t>
      </w:r>
    </w:p>
    <w:p>
      <w:pPr>
        <w:pStyle w:val="TextBody"/>
        <w:bidi w:val="0"/>
        <w:jc w:val="both"/>
        <w:rPr>
          <w:rFonts w:ascii="sans-serif" w:hAnsi="sans-serif"/>
          <w:color w:val="000000"/>
          <w:sz w:val="22"/>
        </w:rPr>
      </w:pPr>
      <w:r>
        <w:rPr>
          <w:rFonts w:ascii="sans-serif" w:hAnsi="sans-serif"/>
          <w:color w:val="000000"/>
          <w:sz w:val="22"/>
        </w:rPr>
        <w:t>Adjusted diluted loss per common share attributable to Shimmick Corporation was $(0.01) for the three months ended July 3, 2026, compared to $(0.14) for the three months ended July 4, 2025.</w:t>
      </w:r>
    </w:p>
    <w:p>
      <w:pPr>
        <w:pStyle w:val="TextBody"/>
        <w:bidi w:val="0"/>
        <w:jc w:val="both"/>
        <w:rPr>
          <w:rFonts w:ascii="sans-serif" w:hAnsi="sans-serif"/>
          <w:color w:val="000000"/>
          <w:sz w:val="22"/>
        </w:rPr>
      </w:pPr>
      <w:r>
        <w:rPr>
          <w:rFonts w:ascii="sans-serif" w:hAnsi="sans-serif"/>
          <w:color w:val="000000"/>
          <w:sz w:val="22"/>
        </w:rPr>
        <w:t>Adjusted EBITDA was $4 million for the three months ended July 3, 2026, compared to $(0.2) million for the three months ended July 4, 2025. The increase was primarily the result of the increase in gross margin of $4 million as described above.</w:t>
      </w:r>
    </w:p>
    <w:p>
      <w:pPr>
        <w:pStyle w:val="TextBody"/>
        <w:bidi w:val="0"/>
        <w:jc w:val="both"/>
        <w:rPr/>
      </w:pPr>
      <w:r>
        <w:rPr/>
        <w:t> </w:t>
      </w:r>
    </w:p>
    <w:p>
      <w:pPr>
        <w:pStyle w:val="TextBody"/>
        <w:bidi w:val="0"/>
        <w:jc w:val="left"/>
        <w:rPr/>
      </w:pPr>
      <w:r>
        <w:rPr>
          <w:color w:val="000000"/>
        </w:rPr>
        <w:t>“</w:t>
      </w:r>
      <w:r>
        <w:rPr>
          <w:rFonts w:ascii="sans-serif" w:hAnsi="sans-serif"/>
          <w:color w:val="000000"/>
          <w:sz w:val="22"/>
        </w:rPr>
        <w:t>We are pleased with the strong momentum of our newer, higher-margin Shimmick Project awards, which contributed to a 9% sequential increase in Shimmick Project revenue during the quarter and reinforce our confidence in the earnings trajectory of the business. As we gain greater visibility into certain Non-Core work removed from backlog last quarter, we are updating our full-year 2026 revenue guidance to approximately $525 million to $575 million, representing approximately 12% year-over-year growth at the midpoint. Importantly, this Non-Core work was not expected to contribute gross margin and therefore has no impact on our profitability expectations. We are reaffirming our full-year 2026 Adjusted EBITDA guidance of $15 million to $30 million, which at the midpoint represents approximately</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350% improvement over the prior year,” said Todd Yoder, Executive Vice President and Chief Financial Officer.</w:t>
      </w:r>
    </w:p>
    <w:p>
      <w:pPr>
        <w:pStyle w:val="TextBody"/>
        <w:bidi w:val="0"/>
        <w:jc w:val="left"/>
        <w:rPr/>
      </w:pPr>
      <w:r>
        <w:rPr/>
        <w:t> </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Outlook and Guidance</w:t>
      </w:r>
    </w:p>
    <w:p>
      <w:pPr>
        <w:pStyle w:val="TextBody"/>
        <w:bidi w:val="0"/>
        <w:jc w:val="left"/>
        <w:rPr>
          <w:rFonts w:ascii="Times New Roman" w:hAnsi="Times New Roman"/>
          <w:sz w:val="20"/>
        </w:rPr>
      </w:pPr>
      <w:r>
        <w:rPr>
          <w:rFonts w:ascii="sans-serif" w:hAnsi="sans-serif"/>
          <w:color w:val="000000"/>
          <w:sz w:val="22"/>
        </w:rPr>
        <w:t>As of August 10, 2026, for the full 2026 fiscal year:</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We reaffirm our guidance of Consolidated Adjusted EBITDA between $15 million and $30 million, representing year-over-year growth of 350% at the midpoint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We now expect consolidated revenue</w:t>
      </w:r>
      <w:r>
        <w:rPr>
          <w:rFonts w:ascii="sans-serif" w:hAnsi="sans-serif"/>
          <w:color w:val="000000"/>
          <w:sz w:val="15"/>
        </w:rPr>
        <w:t>(1)</w:t>
      </w:r>
      <w:r>
        <w:rPr>
          <w:color w:val="000000"/>
        </w:rPr>
        <w:t xml:space="preserve"> </w:t>
      </w:r>
      <w:r>
        <w:rPr>
          <w:rFonts w:ascii="sans-serif" w:hAnsi="sans-serif"/>
          <w:color w:val="000000"/>
          <w:sz w:val="22"/>
        </w:rPr>
        <w:t>in the range of $525 million and $575 million, representing year-over-year growth of 12% at the midpoint</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18"/>
        </w:rPr>
        <w:t>(1) Includes revenue as well as Shimmick's proportionate share of work put-in-place from equity method joint ventures.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Conference Call and Webcast Information</w:t>
      </w:r>
    </w:p>
    <w:p>
      <w:pPr>
        <w:pStyle w:val="TextBody"/>
        <w:bidi w:val="0"/>
        <w:jc w:val="both"/>
        <w:rPr>
          <w:rFonts w:ascii="Times New Roman" w:hAnsi="Times New Roman"/>
          <w:sz w:val="20"/>
        </w:rPr>
      </w:pPr>
      <w:r>
        <w:rPr>
          <w:rFonts w:ascii="sans-serif" w:hAnsi="sans-serif"/>
          <w:color w:val="000000"/>
          <w:sz w:val="22"/>
        </w:rPr>
        <w:t>Shimmick will host a video webcast conference call on Monday, August 10, 2026 at 4:30 p.m. Eastern Time. Interested parties are invited to listen to or watch the conference call which can be accessed live-streamed via the Company’s Investor Relations website (</w:t>
      </w:r>
      <w:r>
        <w:rPr>
          <w:rFonts w:ascii="sans-serif" w:hAnsi="sans-serif"/>
          <w:sz w:val="22"/>
        </w:rPr>
        <w:t>https://investors.shimmick.com/</w:t>
      </w:r>
      <w:r>
        <w:rPr>
          <w:rFonts w:ascii="sans-serif" w:hAnsi="sans-serif"/>
          <w:color w:val="000000"/>
          <w:sz w:val="22"/>
        </w:rPr>
        <w:t>). A copy of the earnings call presentation will also be posted to the Company's website. A replay of the video webcast will be available through the same link following the conference call for a limited time beginning immediately following the call.</w:t>
      </w:r>
    </w:p>
    <w:p>
      <w:pPr>
        <w:pStyle w:val="TextBody"/>
        <w:bidi w:val="0"/>
        <w:jc w:val="both"/>
        <w:rPr>
          <w:rFonts w:ascii="sans-serif" w:hAnsi="sans-serif"/>
          <w:b/>
          <w:color w:val="000000"/>
          <w:sz w:val="22"/>
        </w:rPr>
      </w:pPr>
      <w:r>
        <w:rPr>
          <w:rFonts w:ascii="sans-serif" w:hAnsi="sans-serif"/>
          <w:b/>
          <w:color w:val="000000"/>
          <w:sz w:val="22"/>
        </w:rPr>
        <w:t>About Shimmick Corporation</w:t>
      </w:r>
    </w:p>
    <w:p>
      <w:pPr>
        <w:pStyle w:val="TextBody"/>
        <w:bidi w:val="0"/>
        <w:jc w:val="both"/>
        <w:rPr>
          <w:rFonts w:ascii="Times New Roman" w:hAnsi="Times New Roman"/>
          <w:sz w:val="20"/>
        </w:rPr>
      </w:pPr>
      <w:r>
        <w:rPr>
          <w:rFonts w:ascii="sans-serif" w:hAnsi="sans-serif"/>
          <w:color w:val="000000"/>
          <w:sz w:val="22"/>
        </w:rPr>
        <w:t xml:space="preserve">Shimmick Corporation ("Shimmick", the "Company") (NASDAQ: SHIM) is an industry leader in delivering turnkey infrastructure solutions that strengthen critical markets across water, energy, climate resiliency, 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 For more information, visit </w:t>
      </w:r>
      <w:r>
        <w:rPr>
          <w:rFonts w:ascii="sans-serif" w:hAnsi="sans-serif"/>
          <w:color w:val="000000"/>
          <w:sz w:val="22"/>
          <w:u w:val="single"/>
        </w:rPr>
        <w:t>www.shimmick.com</w:t>
      </w:r>
      <w:r>
        <w:rPr>
          <w:rFonts w:ascii="sans-serif" w:hAnsi="sans-serif"/>
          <w:color w:val="000000"/>
          <w:sz w:val="22"/>
        </w:rPr>
        <w:t>.</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Forward-Looking Statements</w:t>
      </w:r>
    </w:p>
    <w:p>
      <w:pPr>
        <w:pStyle w:val="TextBody"/>
        <w:bidi w:val="0"/>
        <w:jc w:val="both"/>
        <w:rPr>
          <w:rFonts w:ascii="Times New Roman" w:hAnsi="Times New Roman"/>
          <w:sz w:val="20"/>
        </w:rPr>
      </w:pPr>
      <w:r>
        <w:rPr>
          <w:rFonts w:ascii="sans-serif" w:hAnsi="sans-serif"/>
          <w:color w:val="000000"/>
          <w:sz w:val="22"/>
        </w:rPr>
        <w:t>This release contains forward-looking statements within the meaning of Section 27A of the Securities Act of 1933, as amended, and Section 21E of the Securities Exchange Act of 1934, as amended (the "Exchange Act"). These forward-looking statements are often characterized by the use of words such as “may,” “should,” “expects,” “plans,” “anticipates,” “could,” “intends,” “targets,” “projects,” “contemplates,” “believes,” “estimates,” “predicts,” “potential” or “continue” or the negative of these terms or other similar words.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date on which such statement is made, unless otherwise required by law. Forward-looking statements contained in this release include, but are not limited to, statements about: expected future financial performance (including the assumptions related thereto), including our revenue, net loss, backlog and Adjusted EBITDA; our growth prospects, including with respect to new awards, certain geographies and our electrical business; our expectations regarding profitability; our strategic transformation towards becoming more capital-efficient business; our market relationships and reputation; our core capabilities and skillset; the risk profile of our project portfolio; and our capital plans and expectations related thereto. These statements involve risks and uncertainties, and actual results may differ materially from any future results expressed or implied by the forward-looking statements.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We wish to caution readers that, although we believe any forward-looking statements are based on reasonable assumptions, certain important factors may have affected and could in the future affect our actual financial results and could cause our actual financial results for subsequent periods to differ materially from those expressed in any forward-looking statement made by or on our behalf, including, but not limited to, the following: our ability to accurately estimate risks, requirements or costs when we bid on or negotiate a contract; the impact of our fixed-price contracts; qualifying as an eligible bidder for contracts; the availability of qualified personnel, joint venture partners and subcontractors; inability to attract and retain qualified managers and skilled employees and the impact of loss of key management; higher costs to lease, acquire and maintain equipment necessary for our operations or a decline in the market value of owned equipment; subcontractors failing to satisfy their obligations to us or other parties or any inability to maintain subcontractor relationships; marketplace competition; our inability to obtain bonding; our limited operating history as an independent company following our separation from AECOM, our prior owner our relationship and transactions with our prior owner; our prior owner defaulting on its contractual obligations to us or under agreements in which we are beneficiary; our limited number of customers; any inability to successfully expand our business into new markets or geographies; dependence on subcontractors and suppliers of materials; any inability to secure sufficient aggregates; an inability to complete a merger or acquisition or to integrate an acquired company’s business; adjustments in our contract backlog; accounting for our revenue and costs involves significant estimates, as does our use of the input method of revenue recognition based on costs incurred relative to total expected costs; material impairments; any failure to comply with covenants under any current indebtedness, and future indebtedness we may incur; the adequacy of sources of liquidity; the outcome of any legal or regulatory proceedings to which we are,</w:t>
        <w:br/>
        <w:t>or may become, a party, including our appeal of the USACE’s notice of termination related to the Chickamauga Lock project; the effectiveness of our disclosure controls and procedures; cybersecurity attacks against, disruptions, failures or security breaches of, our information technology systems; seasonality of our business; commodity products price fluctuations, inflation (and actions taken by monetary authorities in response to inflation) and/or elevated interest rates; climate change; deterioration of the U.S. economy; changes in state and federal laws, regulations or policies under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current presidential administration, including changes in trade policies and regulations, including increases or changes in duties, current and potentially new tariffs or quotas and other similar measures, as well as the impact of retaliatory tariffs and other actions, changes to tax legislation, potential changes to the amounts provided for under the Infrastructure Investment and Jobs Act, changes to immigration laws, as well as other legislation and executive orders or decreases or delays in or uncertainties related to governmental spending, and geopolitical risks, including those related to the war between Russia and Ukraine and the conflict and potential regime change in Iran and the associated disruption to the Strait of Hormuz, as well as other hostilities in the Middle East, and related disruptions to global energy markets; and other risks detailed in our filings with the Securities and Exchange Commission, including the “Risk Factors” section in our Annual Report on Form 10-K for the fiscal year ended January 2, 2026 and those described from time to time in our future reports with the SEC.</w:t>
      </w:r>
    </w:p>
    <w:p>
      <w:pPr>
        <w:pStyle w:val="TextBody"/>
        <w:bidi w:val="0"/>
        <w:jc w:val="both"/>
        <w:rPr>
          <w:rFonts w:ascii="Times New Roman" w:hAnsi="Times New Roman"/>
          <w:sz w:val="20"/>
        </w:rPr>
      </w:pPr>
      <w:r>
        <w:rPr>
          <w:rFonts w:ascii="sans-serif" w:hAnsi="sans-serif"/>
          <w:b/>
          <w:color w:val="000000"/>
          <w:sz w:val="22"/>
        </w:rPr>
        <w:t>Non-GAAP Definitions</w:t>
      </w:r>
      <w:r>
        <w:rPr>
          <w:rFonts w:ascii="Times New Roman" w:hAnsi="Times New Roman"/>
          <w:color w:val="000000"/>
          <w:sz w:val="20"/>
        </w:rPr>
        <w:t xml:space="preserve"> </w:t>
      </w:r>
      <w:r>
        <w:rPr>
          <w:rFonts w:ascii="sans-serif" w:hAnsi="sans-serif"/>
          <w:i/>
          <w:color w:val="000000"/>
          <w:sz w:val="22"/>
        </w:rPr>
        <w:t>This press release includes unaudited non-GAAP financial measures, adjusted EBITDA and adjusted net loss and adjusted diluted loss per common share. For definitions of these non-GAAP financial measures and reconciliations to the most comparable GAAP measures, see "Explanatory Notes" and tables that follow in this press release. The presentation of non-GAAP financial measures is not intended to be a substitute for, and should not be considered in isolation from, the financial measures reported in accordance with GAAP.</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Please refer to the Reconciliation between Net loss attributable to Shimmick Corporation and Adjusted net loss and Adjusted diluted loss per common share included within Table A and the Reconciliation between Net Loss attributable to Shimmick Corporation and Adjusted EBITDA included within Table B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We do not provide a reconciliation for forward-looking non-GAAP guidance because we are unable to predict certain items contained in the U.S. GAAP measures without unreasonable efforts. These items may include legal fees and other costs for a Non-Core Loss Project, acquisition-related costs, litigation charges or settlements, and certain other unusual adjustments.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Investor Relations Contact</w:t>
      </w:r>
    </w:p>
    <w:p>
      <w:pPr>
        <w:pStyle w:val="TextBody"/>
        <w:bidi w:val="0"/>
        <w:jc w:val="left"/>
        <w:rPr>
          <w:rFonts w:ascii="Times New Roman" w:hAnsi="Times New Roman"/>
          <w:sz w:val="20"/>
        </w:rPr>
      </w:pPr>
      <w:r>
        <w:rPr>
          <w:rFonts w:ascii="sans-serif" w:hAnsi="sans-serif"/>
          <w:color w:val="000000"/>
          <w:sz w:val="22"/>
        </w:rPr>
        <w:t>1-949-704-2350</w:t>
      </w:r>
      <w:r>
        <w:rPr>
          <w:rFonts w:ascii="Times New Roman" w:hAnsi="Times New Roman"/>
          <w:color w:val="000000"/>
          <w:sz w:val="20"/>
        </w:rPr>
        <w:t xml:space="preserve"> </w:t>
      </w:r>
    </w:p>
    <w:p>
      <w:pPr>
        <w:pStyle w:val="TextBody"/>
        <w:bidi w:val="0"/>
        <w:jc w:val="left"/>
        <w:rPr>
          <w:rFonts w:ascii="sans-serif" w:hAnsi="sans-serif"/>
          <w:color w:val="000000"/>
          <w:sz w:val="24"/>
          <w:u w:val="single"/>
        </w:rPr>
      </w:pPr>
      <w:r>
        <w:rPr>
          <w:rFonts w:ascii="sans-serif" w:hAnsi="sans-serif"/>
          <w:color w:val="000000"/>
          <w:sz w:val="24"/>
          <w:u w:val="single"/>
        </w:rPr>
        <w:t>IR@shimmick.com</w:t>
      </w:r>
    </w:p>
    <w:p>
      <w:pPr>
        <w:pStyle w:val="TextBody"/>
        <w:bidi w:val="0"/>
        <w:spacing w:before="240" w:after="283"/>
        <w:jc w:val="center"/>
        <w:rPr>
          <w:rFonts w:ascii="sans-serif" w:hAnsi="sans-serif"/>
          <w:color w:val="000000"/>
          <w:sz w:val="22"/>
        </w:rPr>
      </w:pPr>
      <w:r>
        <w:rPr>
          <w:rFonts w:ascii="sans-serif" w:hAnsi="sans-serif"/>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Shimmick Corporation</w:t>
      </w:r>
    </w:p>
    <w:p>
      <w:pPr>
        <w:pStyle w:val="TextBody"/>
        <w:bidi w:val="0"/>
        <w:jc w:val="center"/>
        <w:rPr>
          <w:rFonts w:ascii="Times New Roman" w:hAnsi="Times New Roman"/>
          <w:sz w:val="20"/>
        </w:rPr>
      </w:pPr>
      <w:r>
        <w:rPr>
          <w:rFonts w:ascii="sans-serif" w:hAnsi="sans-serif"/>
          <w:b/>
          <w:color w:val="000000"/>
          <w:sz w:val="22"/>
        </w:rPr>
        <w:t>Condensed Consolidated Balance Sheets</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(In thousands, except share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642"/>
        <w:gridCol w:w="146"/>
        <w:gridCol w:w="196"/>
        <w:gridCol w:w="751"/>
        <w:gridCol w:w="166"/>
        <w:gridCol w:w="146"/>
        <w:gridCol w:w="196"/>
        <w:gridCol w:w="751"/>
        <w:gridCol w:w="211"/>
      </w:tblGrid>
      <w:tr>
        <w:trPr/>
        <w:tc>
          <w:tcPr>
            <w:tcW w:w="7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portion of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less current portion,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$0.01 par value, 100,000,000 shares authorized as of July 3, 2026 and January 2, 2026; 41,335,823 and 36,035,559 shares issued and outstanding as of July 3, 2026 and January 2,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Shimmick Corporation</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jc w:val="center"/>
        <w:rPr>
          <w:rFonts w:ascii="sans-serif" w:hAnsi="sans-serif"/>
          <w:b/>
          <w:color w:val="000000"/>
          <w:sz w:val="22"/>
        </w:rPr>
      </w:pPr>
      <w:r>
        <w:rPr>
          <w:rFonts w:ascii="sans-serif" w:hAnsi="sans-serif"/>
          <w:b/>
          <w:color w:val="000000"/>
          <w:sz w:val="22"/>
        </w:rPr>
        <w:t>(In thousands, except per share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81"/>
        <w:gridCol w:w="166"/>
        <w:gridCol w:w="146"/>
        <w:gridCol w:w="211"/>
        <w:gridCol w:w="781"/>
        <w:gridCol w:w="166"/>
        <w:gridCol w:w="146"/>
        <w:gridCol w:w="211"/>
        <w:gridCol w:w="781"/>
        <w:gridCol w:w="166"/>
        <w:gridCol w:w="146"/>
        <w:gridCol w:w="211"/>
        <w:gridCol w:w="781"/>
        <w:gridCol w:w="41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(loss)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Shimmick Corporation</w:t>
      </w:r>
    </w:p>
    <w:p>
      <w:pPr>
        <w:pStyle w:val="TextBody"/>
        <w:bidi w:val="0"/>
        <w:jc w:val="center"/>
        <w:rPr>
          <w:rFonts w:ascii="sans-serif" w:hAnsi="sans-serif"/>
          <w:b/>
          <w:color w:val="000000"/>
          <w:sz w:val="22"/>
        </w:rPr>
      </w:pPr>
      <w:r>
        <w:rPr>
          <w:rFonts w:ascii="sans-serif" w:hAnsi="sans-serif"/>
          <w:b/>
          <w:color w:val="000000"/>
          <w:sz w:val="22"/>
        </w:rPr>
        <w:t>Condensed Consolidated Statements of Cash Flows</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9374" w:type="dxa"/>
        <w:jc w:val="left"/>
        <w:tblInd w:w="0" w:type="dxa"/>
        <w:tblLayout w:type="fixed"/>
        <w:tblCellMar>
          <w:top w:w="28" w:type="dxa"/>
          <w:left w:w="28" w:type="dxa"/>
          <w:bottom w:w="28" w:type="dxa"/>
          <w:right w:w="28" w:type="dxa"/>
        </w:tblCellMar>
      </w:tblPr>
      <w:tblGrid>
        <w:gridCol w:w="6211"/>
        <w:gridCol w:w="146"/>
        <w:gridCol w:w="211"/>
        <w:gridCol w:w="736"/>
        <w:gridCol w:w="166"/>
        <w:gridCol w:w="146"/>
        <w:gridCol w:w="211"/>
        <w:gridCol w:w="736"/>
        <w:gridCol w:w="81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Return on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Return of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Borrowings on credit and loan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Repayments on credit and loan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proceeds from underwritten equity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the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EXPLANATORY NOTES</w:t>
      </w:r>
    </w:p>
    <w:p>
      <w:pPr>
        <w:pStyle w:val="TextBody"/>
        <w:bidi w:val="0"/>
        <w:jc w:val="left"/>
        <w:rPr>
          <w:rFonts w:ascii="sans-serif" w:hAnsi="sans-serif"/>
          <w:b/>
          <w:color w:val="000000"/>
          <w:sz w:val="22"/>
        </w:rPr>
      </w:pPr>
      <w:r>
        <w:rPr>
          <w:rFonts w:ascii="sans-serif" w:hAnsi="sans-serif"/>
          <w:b/>
          <w:color w:val="000000"/>
          <w:sz w:val="22"/>
        </w:rPr>
        <w:t>Non-GAAP Financial Measures</w:t>
      </w:r>
    </w:p>
    <w:p>
      <w:pPr>
        <w:pStyle w:val="TextBody"/>
        <w:bidi w:val="0"/>
        <w:jc w:val="left"/>
        <w:rPr/>
      </w:pPr>
      <w:r>
        <w:rPr/>
        <w:t> </w:t>
      </w:r>
    </w:p>
    <w:p>
      <w:pPr>
        <w:pStyle w:val="TextBody"/>
        <w:bidi w:val="0"/>
        <w:jc w:val="left"/>
        <w:rPr>
          <w:rFonts w:ascii="sans-serif" w:hAnsi="sans-serif"/>
          <w:i/>
          <w:color w:val="000000"/>
          <w:sz w:val="22"/>
        </w:rPr>
      </w:pPr>
      <w:r>
        <w:rPr>
          <w:rFonts w:ascii="sans-serif" w:hAnsi="sans-serif"/>
          <w:i/>
          <w:color w:val="000000"/>
          <w:sz w:val="22"/>
        </w:rPr>
        <w:t>Adjusted Net Loss and Adjusted Diluted Loss Per Common Share</w:t>
      </w:r>
    </w:p>
    <w:p>
      <w:pPr>
        <w:pStyle w:val="TextBody"/>
        <w:bidi w:val="0"/>
        <w:spacing w:before="240" w:after="283"/>
        <w:jc w:val="left"/>
        <w:rPr>
          <w:rFonts w:ascii="sans-serif" w:hAnsi="sans-serif"/>
          <w:color w:val="000000"/>
          <w:sz w:val="22"/>
        </w:rPr>
      </w:pPr>
      <w:r>
        <w:rPr>
          <w:rFonts w:ascii="sans-serif" w:hAnsi="sans-serif"/>
          <w:color w:val="000000"/>
          <w:sz w:val="22"/>
        </w:rPr>
        <w:t>Adjusted net loss represents Net loss attributable to Shimmick Corporation adjusted to eliminate stock-based compensation, legal fees and other costs for Non-Core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Non-Core Projects and transforming the Company to shift our strategy to meet the nation’s growing need for water and other critical infrastructure and grow our business.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We have included Adjusted net loss in this press release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Our use of Adjusted net loss as an analytical tool has limitations, and you should not consider it in isolation or as a substitute for analysis of our financial results as reported under GAAP. Some of these limitations are: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Adjusted net loss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Adjusted net loss does not reflect the potentially dilutive impact of stock-based compensation,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other companies, including companies in our industry, might calculate Adjusted net loss or similarly titled measures differently, which reduces their usefulness as comparative measures.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Because of these and other limitations, you should consider Adjusted net loss alongside Net loss attributable to Shimmick Corporation, which is the most directly comparable GAAP measure.</w:t>
      </w:r>
    </w:p>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Table A</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Reconciliation between Net loss attributable to</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Shimmick Corporation and Adjusted net loss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585"/>
        <w:gridCol w:w="211"/>
        <w:gridCol w:w="631"/>
        <w:gridCol w:w="166"/>
        <w:gridCol w:w="146"/>
        <w:gridCol w:w="211"/>
        <w:gridCol w:w="631"/>
        <w:gridCol w:w="166"/>
        <w:gridCol w:w="146"/>
        <w:gridCol w:w="211"/>
        <w:gridCol w:w="631"/>
        <w:gridCol w:w="166"/>
        <w:gridCol w:w="146"/>
        <w:gridCol w:w="211"/>
        <w:gridCol w:w="736"/>
        <w:gridCol w:w="211"/>
      </w:tblGrid>
      <w:tr>
        <w:trPr/>
        <w:tc>
          <w:tcPr>
            <w:tcW w:w="5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 share data)</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Shimmick Corporation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Transformation costs </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fees and other costs for Non-Core Projects </w:t>
            </w:r>
            <w:r>
              <w:rPr>
                <w:rFonts w:ascii="Times New Roman" w:hAnsi="Times New Roman"/>
                <w:color w:val="000000"/>
                <w:sz w:val="13"/>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loss attributable to Shimmick Corporation per common share</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Consists of transformation-related costs we have incurred including advisory costs in connection with settling outstanding claims in connection with exiting certain Non-Core Projects as part of the Company’s growth strategy to address and capitalize on the nation’s growing need for water and other critical infrastructure. </w:t>
      </w:r>
    </w:p>
    <w:p>
      <w:pPr>
        <w:pStyle w:val="TextBody"/>
        <w:bidi w:val="0"/>
        <w:jc w:val="left"/>
        <w:rPr>
          <w:rFonts w:ascii="Times New Roman" w:hAnsi="Times New Roman"/>
          <w:color w:val="000000"/>
          <w:sz w:val="20"/>
        </w:rPr>
      </w:pPr>
      <w:r>
        <w:rPr>
          <w:rFonts w:ascii="Times New Roman" w:hAnsi="Times New Roman"/>
          <w:color w:val="000000"/>
          <w:sz w:val="20"/>
        </w:rPr>
        <w:t>(2) Consists of legal fees and other costs incurred in connection with claims relating to Non-Core Projects.</w:t>
      </w:r>
    </w:p>
    <w:p>
      <w:pPr>
        <w:pStyle w:val="TextBody"/>
        <w:bidi w:val="0"/>
        <w:jc w:val="left"/>
        <w:rPr>
          <w:rFonts w:ascii="Times New Roman" w:hAnsi="Times New Roman"/>
          <w:color w:val="000000"/>
          <w:sz w:val="20"/>
        </w:rPr>
      </w:pPr>
      <w:r>
        <w:rPr>
          <w:rFonts w:ascii="Times New Roman" w:hAnsi="Times New Roman"/>
          <w:color w:val="000000"/>
          <w:sz w:val="20"/>
        </w:rPr>
        <w:t>(3) Consists of transaction-related costs and changes in fair value of contingent consideration remaining after the impact of transactions with our prior owner.</w:t>
      </w:r>
    </w:p>
    <w:p>
      <w:pPr>
        <w:pStyle w:val="TextBody"/>
        <w:bidi w:val="0"/>
        <w:jc w:val="left"/>
        <w:rPr/>
      </w:pPr>
      <w:r>
        <w:rPr/>
        <w:t> </w:t>
      </w:r>
    </w:p>
    <w:p>
      <w:pPr>
        <w:pStyle w:val="TextBody"/>
        <w:bidi w:val="0"/>
        <w:jc w:val="left"/>
        <w:rPr/>
      </w:pPr>
      <w:r>
        <w:rPr/>
        <w:t> </w:t>
      </w:r>
    </w:p>
    <w:p>
      <w:pPr>
        <w:pStyle w:val="TextBody"/>
        <w:bidi w:val="0"/>
        <w:jc w:val="left"/>
        <w:rPr>
          <w:rFonts w:ascii="sans-serif" w:hAnsi="sans-serif"/>
          <w:i/>
          <w:color w:val="231F20"/>
          <w:sz w:val="22"/>
        </w:rPr>
      </w:pPr>
      <w:r>
        <w:rPr>
          <w:rFonts w:ascii="sans-serif" w:hAnsi="sans-serif"/>
          <w:i/>
          <w:color w:val="231F20"/>
          <w:sz w:val="22"/>
        </w:rPr>
        <w:t>Adjusted EBITDA</w:t>
      </w:r>
    </w:p>
    <w:p>
      <w:pPr>
        <w:pStyle w:val="TextBody"/>
        <w:bidi w:val="0"/>
        <w:spacing w:before="240" w:after="240"/>
        <w:jc w:val="left"/>
        <w:rPr>
          <w:rFonts w:ascii="sans-serif" w:hAnsi="sans-serif"/>
          <w:color w:val="231F20"/>
          <w:sz w:val="22"/>
        </w:rPr>
      </w:pPr>
      <w:r>
        <w:rPr>
          <w:rFonts w:ascii="sans-serif" w:hAnsi="sans-serif"/>
          <w:color w:val="231F20"/>
          <w:sz w:val="22"/>
        </w:rPr>
        <w:t>Adjusted EBITDA represents our Net loss attributable to Shimmick Corporation before interest expense, income tax expense and depreciation and amortization, adjusted to eliminate stock-based compensation, legal fees and other costs for Non-Core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Non-Core Projects and transforming the Company to shift our strategy to meet the nation’s growing need for water and other critical infrastructure and grow our business.</w:t>
      </w:r>
    </w:p>
    <w:p>
      <w:pPr>
        <w:pStyle w:val="TextBody"/>
        <w:bidi w:val="0"/>
        <w:jc w:val="left"/>
        <w:rPr>
          <w:rFonts w:ascii="Times New Roman" w:hAnsi="Times New Roman"/>
          <w:sz w:val="20"/>
        </w:rPr>
      </w:pPr>
      <w:r>
        <w:rPr>
          <w:rFonts w:ascii="sans-serif" w:hAnsi="sans-serif"/>
          <w:color w:val="231F20"/>
          <w:sz w:val="22"/>
        </w:rPr>
        <w:t>We have included Adjusted EBITDA in this press release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r>
        <w:rPr>
          <w:rFonts w:ascii="Times New Roman" w:hAnsi="Times New Roman"/>
          <w:color w:val="231F2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2"/>
        </w:rPr>
        <w:t>Our use of Adjusted EBITDA as an analytical tool has limitations, and you should not consider it in isolation or as a substitute for analysis of our financial results as reported under GAAP. Some of these limitations are:</w:t>
      </w:r>
      <w:r>
        <w:rPr>
          <w:rFonts w:ascii="Times New Roman" w:hAnsi="Times New Roman"/>
          <w:color w:val="231F20"/>
          <w:sz w:val="20"/>
        </w:rPr>
        <w:t xml:space="preserve"> </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 xml:space="preserve">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 </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Adjusted EBITDA does not reflect changes in, or cash requirements for, our working capital needs,</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 xml:space="preserve">Adjusted EBITDA does not reflect the potentially dilutive impact of stock-based compensation, </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 xml:space="preserve">Adjusted EBITDA does not reflect interest or tax payments that would reduce the cash available to us, and </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 xml:space="preserve">other companies, including companies in our industry, might calculate Adjusted EBITDA or similarly titled measures differently, which reduces their usefulness as comparative measures. </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Because of these and other limitations, you should consider Adjusted EBITDA alongside Net loss attributable to Shimmick Corporation, which is the most directly comparable GAAP measure.</w:t>
      </w:r>
    </w:p>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231F20"/>
          <w:sz w:val="22"/>
        </w:rPr>
      </w:pPr>
      <w:r>
        <w:rPr>
          <w:rFonts w:ascii="sans-serif" w:hAnsi="sans-serif"/>
          <w:b/>
          <w:color w:val="231F20"/>
          <w:sz w:val="22"/>
        </w:rPr>
        <w:t>Table B</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Reconciliation between Net loss attributable to</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Shimmick Corporation and Adjusted EBITDA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left"/>
        <w:rPr/>
      </w:pPr>
      <w:r>
        <w:rPr/>
        <w:t> </w:t>
      </w:r>
    </w:p>
    <w:tbl>
      <w:tblPr>
        <w:tblW w:w="8982" w:type="dxa"/>
        <w:jc w:val="left"/>
        <w:tblInd w:w="0" w:type="dxa"/>
        <w:tblLayout w:type="fixed"/>
        <w:tblCellMar>
          <w:top w:w="28" w:type="dxa"/>
          <w:left w:w="28" w:type="dxa"/>
          <w:bottom w:w="28" w:type="dxa"/>
          <w:right w:w="28" w:type="dxa"/>
        </w:tblCellMar>
      </w:tblPr>
      <w:tblGrid>
        <w:gridCol w:w="4216"/>
        <w:gridCol w:w="146"/>
        <w:gridCol w:w="211"/>
        <w:gridCol w:w="631"/>
        <w:gridCol w:w="166"/>
        <w:gridCol w:w="146"/>
        <w:gridCol w:w="211"/>
        <w:gridCol w:w="631"/>
        <w:gridCol w:w="166"/>
        <w:gridCol w:w="146"/>
        <w:gridCol w:w="211"/>
        <w:gridCol w:w="631"/>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Transformation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fees and other costs for Non-Core Projects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Consists of transformation-related costs we have incurred including advisory costs in connection with settling outstanding claims in connection with exiting certain Non-Core Projects as part of the Company’s growth strategy to address and capitalize on the nation’s growing need for water and other critical infrastructure. </w:t>
      </w:r>
    </w:p>
    <w:p>
      <w:pPr>
        <w:pStyle w:val="TextBody"/>
        <w:bidi w:val="0"/>
        <w:jc w:val="left"/>
        <w:rPr>
          <w:rFonts w:ascii="Times New Roman" w:hAnsi="Times New Roman"/>
          <w:color w:val="000000"/>
          <w:sz w:val="20"/>
        </w:rPr>
      </w:pPr>
      <w:r>
        <w:rPr>
          <w:rFonts w:ascii="Times New Roman" w:hAnsi="Times New Roman"/>
          <w:color w:val="000000"/>
          <w:sz w:val="20"/>
        </w:rPr>
        <w:t>(2) Consists of legal fees and other costs incurred in connection with claims relating to Non-Core Projects.</w:t>
      </w:r>
    </w:p>
    <w:p>
      <w:pPr>
        <w:pStyle w:val="TextBody"/>
        <w:bidi w:val="0"/>
        <w:jc w:val="left"/>
        <w:rPr>
          <w:rFonts w:ascii="Times New Roman" w:hAnsi="Times New Roman"/>
          <w:color w:val="000000"/>
          <w:sz w:val="20"/>
        </w:rPr>
      </w:pPr>
      <w:r>
        <w:rPr>
          <w:rFonts w:ascii="Times New Roman" w:hAnsi="Times New Roman"/>
          <w:color w:val="000000"/>
          <w:sz w:val="20"/>
        </w:rPr>
        <w:t>(3) Consists of transaction-related costs and changes in fair value of contingent consideration remaining after the impact of transactions with our prior owner.</w:t>
      </w:r>
    </w:p>
    <w:p>
      <w:pPr>
        <w:pStyle w:val="TextBody"/>
        <w:bidi w:val="0"/>
        <w:spacing w:before="240" w:after="283"/>
        <w:jc w:val="center"/>
        <w:rPr>
          <w:rFonts w:ascii="sans-serif" w:hAnsi="sans-serif"/>
          <w:color w:val="000000"/>
          <w:sz w:val="22"/>
        </w:rPr>
      </w:pPr>
      <w:r>
        <w:rPr>
          <w:rFonts w:ascii="sans-serif" w:hAnsi="sans-serif"/>
          <w:color w:val="000000"/>
          <w:sz w:val="22"/>
        </w:rPr>
        <w:t>14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5595</Words>
  <Characters>30396</Characters>
  <CharactersWithSpaces>36330</CharactersWithSpaces>
  <Paragraphs>2094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