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him-20260703.htm"/>
      <w:bookmarkStart w:id="1" w:name="ksshim20260703"/>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283"/>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283"/>
        <w:jc w:val="center"/>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July 3,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001-41867</w:t>
      </w:r>
    </w:p>
    <w:p>
      <w:pPr>
        <w:pStyle w:val="TextBody"/>
        <w:pBdr>
          <w:bottom w:val="single" w:sz="4" w:space="1" w:color="000000"/>
        </w:pBdr>
        <w:bidi w:val="0"/>
        <w:spacing w:before="60" w:after="283"/>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Shimmick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84-3749368</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 xml:space="preserve">530 Technology Drive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Suite 300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Irvine,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92618</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(833) 723-2021</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SHIM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August 7, 2026, the registrant had 41,335,823</w:t>
      </w:r>
      <w:r>
        <w:rPr>
          <w:rFonts w:ascii="Times New Roman" w:hAnsi="Times New Roman"/>
          <w:color w:val="000000"/>
          <w:sz w:val="20"/>
        </w:rPr>
        <w:t xml:space="preserve"> </w:t>
      </w:r>
      <w:r>
        <w:rPr>
          <w:rFonts w:ascii="Times New Roman" w:hAnsi="Times New Roman"/>
          <w:color w:val="000000"/>
          <w:sz w:val="18"/>
        </w:rPr>
        <w:t>shares of Common Stock, par value $0.01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make forward-looking statements in this Quarterly Report on Form 10-Q (“Form 10-Q”) within the meaning of Section 27A of the Securities Act of 1933, as amended (the “Securities Act”), and Section 21E of the Securities Exchange Act of 1934, as amended (the “Exchange Act”) that are subject to risks and uncertainties. For these statements, we claim the protections of the safe harbor for forward-looking statements contained in such Sections. These forward-looking statements include information about possible or assumed future results of our business, financial condition, liquidity, results of operations, plans and objectives. When we use the words “believe,” “expect,” “anticipate,” “estimate,” “plan,” “continue,” “intend,” "project," "will," “should,” “may” or similar expressions, we intend to identify forward-looking statements. However, the absence of these words or similar expressions does not mean that a statement is not forward-looking. All statements that address operating performance, events or developments that we expect or anticipate will occur in the future are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Forward-looking statements are subject to significant risks and uncertainties. Investors are cautioned against placing undue reliance on such statements. Actual results may differ materially from those set forth in the forward-looking statements. Accordingly, any such statements are qualified in their entirety by reference to, and are accompanied by, important factors included in the sections entitled “Forward Looking Statements” and “Risk Factors” in our Annual Report on Form 10-K for the fiscal year ended January 2, 2026 ("Form 10-K") and those described from time to time in our future reports with the Securities and Exchange Commission (the "SEC") (in addition to any assumptions and other factors referred to specifically in connection with such forward-looking statements) that could have a significant impact on our operations and financial results, and could cause our actual results to differ materially from those contained or implied in forward-looking statements made by us or on our behalf in this Form 10-Q, in presentations, on our websites, in response to questions or otherwise. We believe these factors include, but are not limited to, the following: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accurately estimate risks, requirements or costs when we bid on or negotiate a contract,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our fixed-price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qualifying as an eligible bidder for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qualified personnel, joint venture partners and subcontractors,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attract and retain qualified managers and skilled employees and the impact of loss of key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 costs to lease, acquire and maintain equipment necessary for our operations or a decline in the market value of owned equipment,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subcontractors failing to satisfy their obligations to us or other parties or any inability to maintain subcontractor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marketplace competition,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bonding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limited operating history as an independent company following our separation from AECOM, our prior owner,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relationship and transactions with our prior owner,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prior owner defaulting on its contractual obligations to us or under agreements in which we are beneficiary,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limited number of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inability to successfully expand our business into new markets or geographies,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subcontractors and suppliers of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inability to secure sufficient aggregates,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complete a merger or acquisition or to integrate an acquired company’s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our capacity related to specialized, high-performance electrical and power distribution</w:t>
        <w:br/>
        <w:t>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adjustments in our contract backlog,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accounting for our revenue and costs involves significant estimates, as does our use of the input method of revenue recognition based on costs incurred relative to total expected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material impairments,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to comply with covenants under any current indebtedness, and future indebtedness we may incur,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adequacy of sources of liquidity,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any legal or regulatory proceedings to which we are, or may become, a party, including our appeal of the USACE’s notice of termination related to the Chickamauga Lock project,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disclosure controls and procedures,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cybersecurity attacks against, disruptions, failures or security breaches of, our information technology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seasonality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commodity products price fluctuations, inflation (and actions taken by monetary authorities in response to inflation) and/or elevated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climate 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deterioration of the U.S. economy,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state and federal laws, regulations or policies under the current presidential administration, including changes in trade policies and regulations, including increases or changes in duties, current and potentially new tariffs or quotas and other similar measures, as well as the impact of retaliatory tariffs and other actions, changes to tax legislation, potential changes to the amounts provided for under the Infrastructure Investment and Jobs Act, changes to immigration laws, as well as other legislation and executive orders or decreases or delays in or uncertainties related to governmental spending,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risks, including those related to the war between Russia and Ukraine and the conflict and potential regime change in Iran and the associated disruption to the Strait of Hormuz, as well as other hostilities in the Middle East, and related disruptions to global energy markets.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forward-looking statement speaks only as of the date on which such statement is made, and we undertake no obligation to update any forward-looking statement to reflect events or circumstances, including, but not limited to, unanticipated events, after the date on which such statement is made, unless otherwise required by law. New factors emerge from time to time and it is not possible for management to predict all of such factors, nor can it assess the impact of each such factor on the business or the extent to which any factor, or combination of factors, may cause actual results to differ materially from those contained or implied in any forward-looking statement.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hyperlink w:anchor="part_i_financial_information">
              <w:r>
                <w:rPr>
                  <w:rStyle w:val="InternetLink"/>
                  <w:rFonts w:ascii="Times New Roman" w:hAnsi="Times New Roman"/>
                  <w:color w:val="0000FF"/>
                  <w:sz w:val="20"/>
                </w:rPr>
                <w:t xml:space="preserve"> </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f_ops">
              <w:r>
                <w:rPr>
                  <w:rStyle w:val="InternetLink"/>
                  <w:rFonts w:ascii="Times New Roman" w:hAnsi="Times New Roman"/>
                  <w:color w:val="0000FF"/>
                  <w:sz w:val="20"/>
                  <w:u w:val="single"/>
                </w:rPr>
                <w:t>Condensed Consolidated Statements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mt_of_equity">
              <w:r>
                <w:rPr>
                  <w:rStyle w:val="InternetLink"/>
                  <w:rFonts w:ascii="Times New Roman" w:hAnsi="Times New Roman"/>
                  <w:color w:val="0000FF"/>
                  <w:sz w:val="20"/>
                  <w:u w:val="single"/>
                </w:rPr>
                <w:t>Condensed Consolidated Statements of Stockholders' Deficit</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f_cf">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_cons_fins_stmt">
              <w:r>
                <w:rPr>
                  <w:rStyle w:val="InternetLink"/>
                  <w:rFonts w:ascii="Times New Roman" w:hAnsi="Times New Roman"/>
                  <w:color w:val="0000FF"/>
                  <w:sz w:val="20"/>
                  <w:u w:val="single"/>
                </w:rPr>
                <w:t>Notes to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_secu">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financial_statements_unaudited"/>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42"/>
        <w:gridCol w:w="146"/>
        <w:gridCol w:w="196"/>
        <w:gridCol w:w="751"/>
        <w:gridCol w:w="166"/>
        <w:gridCol w:w="146"/>
        <w:gridCol w:w="196"/>
        <w:gridCol w:w="751"/>
        <w:gridCol w:w="211"/>
      </w:tblGrid>
      <w:tr>
        <w:trPr/>
        <w:tc>
          <w:tcPr>
            <w:tcW w:w="7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assets,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110,276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175,381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224,936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218,763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portion of 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196,116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debt, less current portion,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275,403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 as of July 3, 2026 and January 2, 2026; 41,335,823</w:t>
            </w:r>
            <w:r>
              <w:rPr>
                <w:rFonts w:ascii="Times New Roman" w:hAnsi="Times New Roman"/>
                <w:color w:val="000000"/>
                <w:sz w:val="20"/>
              </w:rPr>
              <w:t> </w:t>
            </w:r>
            <w:r>
              <w:rPr>
                <w:rFonts w:ascii="Times New Roman" w:hAnsi="Times New Roman"/>
                <w:color w:val="000000"/>
                <w:sz w:val="16"/>
              </w:rPr>
              <w:t>and 36,035,559</w:t>
            </w:r>
            <w:r>
              <w:rPr>
                <w:rFonts w:ascii="Times New Roman" w:hAnsi="Times New Roman"/>
                <w:color w:val="000000"/>
                <w:sz w:val="20"/>
              </w:rPr>
              <w:t> </w:t>
            </w:r>
            <w:r>
              <w:rPr>
                <w:rFonts w:ascii="Times New Roman" w:hAnsi="Times New Roman"/>
                <w:color w:val="000000"/>
                <w:sz w:val="16"/>
              </w:rPr>
              <w:t>shares issued and outstanding as of July 3, 2026 and January 2, 2026,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Retained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224,936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218,763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sz w:val="20"/>
        </w:rPr>
      </w:pPr>
      <w:bookmarkStart w:id="5" w:name="condensed_consolidated_statements_of_ops"/>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4744"/>
        <w:gridCol w:w="146"/>
        <w:gridCol w:w="211"/>
        <w:gridCol w:w="781"/>
        <w:gridCol w:w="166"/>
        <w:gridCol w:w="146"/>
        <w:gridCol w:w="211"/>
        <w:gridCol w:w="781"/>
        <w:gridCol w:w="166"/>
        <w:gridCol w:w="146"/>
        <w:gridCol w:w="211"/>
        <w:gridCol w:w="781"/>
        <w:gridCol w:w="166"/>
        <w:gridCol w:w="146"/>
        <w:gridCol w:w="211"/>
        <w:gridCol w:w="781"/>
        <w:gridCol w:w="411"/>
      </w:tblGrid>
      <w:tr>
        <w:trPr/>
        <w:tc>
          <w:tcPr>
            <w:tcW w:w="4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(loss) of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sale of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Shimmick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Shimmick Corporation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b/>
          <w:color w:val="000000"/>
          <w:sz w:val="20"/>
        </w:rPr>
      </w:pPr>
      <w:bookmarkStart w:id="6" w:name="condensed_consolidated_stmt_of_equity"/>
      <w:bookmarkEnd w:id="6"/>
      <w:r>
        <w:rPr>
          <w:rFonts w:ascii="Times New Roman" w:hAnsi="Times New Roman"/>
          <w:b/>
          <w:color w:val="000000"/>
          <w:sz w:val="20"/>
        </w:rPr>
        <w:t>Condensed Consolidated Statements of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34"/>
        <w:gridCol w:w="146"/>
        <w:gridCol w:w="146"/>
        <w:gridCol w:w="1036"/>
        <w:gridCol w:w="146"/>
        <w:gridCol w:w="146"/>
        <w:gridCol w:w="260"/>
        <w:gridCol w:w="521"/>
        <w:gridCol w:w="146"/>
        <w:gridCol w:w="146"/>
        <w:gridCol w:w="239"/>
        <w:gridCol w:w="767"/>
        <w:gridCol w:w="146"/>
        <w:gridCol w:w="146"/>
        <w:gridCol w:w="211"/>
        <w:gridCol w:w="841"/>
        <w:gridCol w:w="166"/>
        <w:gridCol w:w="146"/>
        <w:gridCol w:w="568"/>
        <w:gridCol w:w="933"/>
        <w:gridCol w:w="146"/>
        <w:gridCol w:w="146"/>
        <w:gridCol w:w="269"/>
        <w:gridCol w:w="941"/>
        <w:gridCol w:w="213"/>
      </w:tblGrid>
      <w:tr>
        <w:trPr/>
        <w:tc>
          <w:tcPr>
            <w:tcW w:w="1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April 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36,096,072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(60,485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Underwritten equity offering, net of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July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41,335,823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05"/>
        <w:gridCol w:w="146"/>
        <w:gridCol w:w="146"/>
        <w:gridCol w:w="1036"/>
        <w:gridCol w:w="146"/>
        <w:gridCol w:w="146"/>
        <w:gridCol w:w="260"/>
        <w:gridCol w:w="521"/>
        <w:gridCol w:w="146"/>
        <w:gridCol w:w="146"/>
        <w:gridCol w:w="239"/>
        <w:gridCol w:w="767"/>
        <w:gridCol w:w="146"/>
        <w:gridCol w:w="146"/>
        <w:gridCol w:w="211"/>
        <w:gridCol w:w="736"/>
        <w:gridCol w:w="166"/>
        <w:gridCol w:w="146"/>
        <w:gridCol w:w="457"/>
        <w:gridCol w:w="1044"/>
        <w:gridCol w:w="166"/>
        <w:gridCol w:w="146"/>
        <w:gridCol w:w="272"/>
        <w:gridCol w:w="953"/>
        <w:gridCol w:w="212"/>
      </w:tblGrid>
      <w:tr>
        <w:trPr/>
        <w:tc>
          <w:tcPr>
            <w:tcW w:w="1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7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April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34,331,514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(87,981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(42,641</w:t>
            </w:r>
          </w:p>
        </w:tc>
        <w:tc>
          <w:tcPr>
            <w:tcW w:w="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July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35,248,424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(49,462</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18"/>
        <w:gridCol w:w="146"/>
        <w:gridCol w:w="146"/>
        <w:gridCol w:w="1036"/>
        <w:gridCol w:w="146"/>
        <w:gridCol w:w="146"/>
        <w:gridCol w:w="260"/>
        <w:gridCol w:w="521"/>
        <w:gridCol w:w="146"/>
        <w:gridCol w:w="146"/>
        <w:gridCol w:w="239"/>
        <w:gridCol w:w="767"/>
        <w:gridCol w:w="146"/>
        <w:gridCol w:w="146"/>
        <w:gridCol w:w="211"/>
        <w:gridCol w:w="841"/>
        <w:gridCol w:w="166"/>
        <w:gridCol w:w="146"/>
        <w:gridCol w:w="457"/>
        <w:gridCol w:w="1044"/>
        <w:gridCol w:w="166"/>
        <w:gridCol w:w="146"/>
        <w:gridCol w:w="268"/>
        <w:gridCol w:w="938"/>
        <w:gridCol w:w="213"/>
      </w:tblGrid>
      <w:tr>
        <w:trPr/>
        <w:tc>
          <w:tcPr>
            <w:tcW w:w="1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36,035,559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(103,795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(56,640</w:t>
            </w:r>
          </w:p>
        </w:tc>
        <w:tc>
          <w:tcPr>
            <w:tcW w:w="2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(9,239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Underwritten equity offering, net of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4,289,500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July 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41,335,823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(50,322</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09"/>
        <w:gridCol w:w="146"/>
        <w:gridCol w:w="146"/>
        <w:gridCol w:w="1036"/>
        <w:gridCol w:w="146"/>
        <w:gridCol w:w="146"/>
        <w:gridCol w:w="260"/>
        <w:gridCol w:w="521"/>
        <w:gridCol w:w="146"/>
        <w:gridCol w:w="146"/>
        <w:gridCol w:w="239"/>
        <w:gridCol w:w="767"/>
        <w:gridCol w:w="146"/>
        <w:gridCol w:w="146"/>
        <w:gridCol w:w="211"/>
        <w:gridCol w:w="736"/>
        <w:gridCol w:w="166"/>
        <w:gridCol w:w="146"/>
        <w:gridCol w:w="457"/>
        <w:gridCol w:w="1044"/>
        <w:gridCol w:w="166"/>
        <w:gridCol w:w="146"/>
        <w:gridCol w:w="271"/>
        <w:gridCol w:w="950"/>
        <w:gridCol w:w="212"/>
      </w:tblGrid>
      <w:tr>
        <w:trPr/>
        <w:tc>
          <w:tcPr>
            <w:tcW w:w="1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7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34,271,214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43,353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(78,211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(34,674</w:t>
            </w:r>
          </w:p>
        </w:tc>
        <w:tc>
          <w:tcPr>
            <w:tcW w:w="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July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35,248,424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(49,462</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b/>
          <w:color w:val="000000"/>
          <w:sz w:val="20"/>
        </w:rPr>
      </w:pPr>
      <w:bookmarkStart w:id="7" w:name="condensed_consolidated_statements_of_c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8384" w:type="dxa"/>
        <w:jc w:val="left"/>
        <w:tblInd w:w="0" w:type="dxa"/>
        <w:tblLayout w:type="fixed"/>
        <w:tblCellMar>
          <w:top w:w="28" w:type="dxa"/>
          <w:left w:w="28" w:type="dxa"/>
          <w:bottom w:w="28" w:type="dxa"/>
          <w:right w:w="28" w:type="dxa"/>
        </w:tblCellMar>
      </w:tblPr>
      <w:tblGrid>
        <w:gridCol w:w="5401"/>
        <w:gridCol w:w="146"/>
        <w:gridCol w:w="196"/>
        <w:gridCol w:w="661"/>
        <w:gridCol w:w="166"/>
        <w:gridCol w:w="146"/>
        <w:gridCol w:w="196"/>
        <w:gridCol w:w="661"/>
        <w:gridCol w:w="811"/>
      </w:tblGrid>
      <w:tr>
        <w:trPr/>
        <w:tc>
          <w:tcPr>
            <w:tcW w:w="5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(18,136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 in earnings of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Return on investment in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sale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(48,618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Other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(41,987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Return of investment in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Borrowings on credit and loan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56,558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Repayments on credit and loan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(28,329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proceeds from underwritten equity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Distributions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26,808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35,795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22,667</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to the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Condensed Consolidated Balance Sheets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22,667</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b/>
          <w:color w:val="000000"/>
          <w:sz w:val="20"/>
        </w:rPr>
      </w:pPr>
      <w:bookmarkStart w:id="8" w:name="notes_to_unaudited_cond_cons_fins_stmt"/>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 Business and Organization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Shimmick Corporation ("Shimmick", the “Company”) was founded in 1990 in California and operated as a regional infrastructure construction contractor throughout California for nearly 30 years. In 2017, AECOM acquired Shimmick and consolidated it with its existing construction services, which included former legacy construction operations from Morrison Knudsen, Washington Group International, and others. In January 2021, we consummated the AECOM Sale Transaction and began operating as an independent company under new private ownership (the "AECOM Sale Transaction"). In November 2023, we completed our initial public offering (the “IPO”) and currently our stock is listed for trading on the Nasdaq Capital Market under the symbol "SHIM".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include the accounts of Shimmick Corporation and its subsidiaries (“Shimmick”, “we”, “our”, “us”, “its” or the “Company”), unless otherwise indicated. </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2. Basis of Presentation and Summary of Significant Accounting Policies</w:t>
      </w:r>
    </w:p>
    <w:p>
      <w:pPr>
        <w:pStyle w:val="TextBody"/>
        <w:bidi w:val="0"/>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in conformity with accounting principles generally accepted in the United States (“GAAP” or "U.S. GAAP"), and in conformity with the rules and regulations of the Securities and Exchange Commission. The information furnished reflects all adjustments, consisting of normal recurring adjustments, that are, in the opinion of management, necessary for a fair presentation of the results of operations, cash flows and financial position for the interim periods presented. A statement of comprehensive income is not presented as the Company’s results of operations do not contain any items classified as comprehensive income. All intercompany accounts and transactions have been eliminated. Certain information and footnote disclosures normally included in financial statements prepared in accordance with GAAP have been condensed or omitted in accordance with such rules and regulations, although management believes the disclosures are adequate to prevent the information presented from being misleading. The accompanying condensed consolidated financial statements are unaudited and should be read in conjunction with the audited consolidated financial statements and notes in our Annual Report on Form 10-K for the fiscal year ended January 2, 2026 ("Form 10-K"). Because of the seasonal nature of some of the Company's operations, the results of operations for the three and six months ended July 3, 2026 are not necessarily indicative of the results of operations to be expected for the full fiscal year.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 in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prior period balances in the condensed consolidated balance sheets, statements of operations and statements of cash flows and accompanying notes have been combined, reclassified or rounded to conform to current period presentation. These changes had no impact on net loss, cash flows, assets and liabilities or deficit previously reported.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significant accounting policies are described in more detail in Note 2 - Basis of Presentation and Summary of Significant Accounting Policies of our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our condensed consolidated financial statements in conformity with GAAP requires management to make estimates and assumptions that affect the reported amounts included in the condensed consolidated financial statements and accompanying notes thereto. Actual results could differ from those estimates.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Accounting pronouncements not listed below were assessed and determined to be not applicable or are expected to have minimal impact on the condensed consolidated financial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Statement—Reporting Comprehensive Income—Expense Disaggregation Disclosures (Subtopic 220-40): Disaggregation of Income Statement Expenses, and in January 2025, the FASB issued ASU 2025-01, Clarifying the Effective Date. These updates require public companies to disclose additional information about certain expenses in the notes to financial statements, enhancing transparency and providing more detailed insights for investors and other stakeholders. This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guidance is effective for annual periods beginning after December 15, 2026, and quarterly periods within those annual periods beginning after December 15, 2027, with early adoption permitted, and will be applied on a prospective basis. The Company is currently evaluating the effects that adoption of this guidance will have on the condensed consolidated financial statements and related disclosures.</w:t>
      </w:r>
    </w:p>
    <w:p>
      <w:pPr>
        <w:pStyle w:val="TextBody"/>
        <w:bidi w:val="0"/>
        <w:jc w:val="left"/>
        <w:rPr>
          <w:rFonts w:ascii="Times New Roman" w:hAnsi="Times New Roman"/>
          <w:color w:val="000000"/>
          <w:sz w:val="20"/>
        </w:rPr>
      </w:pPr>
      <w:r>
        <w:rPr>
          <w:rFonts w:ascii="Times New Roman" w:hAnsi="Times New Roman"/>
          <w:color w:val="000000"/>
          <w:sz w:val="20"/>
        </w:rPr>
        <w:t xml:space="preserve">In July 2025, the FASB issued ASU 2025-05, Measurement of Credit Losses for Accounts Receivable and Contract Assets, to address complexities in applying current expected credit losses for current accounts receivable and contract assets. The amendments allow entities to make an accounting policy election to apply a practical expedient when estimating expected credit losses for certain assets, which allows entities to assume that economic conditions at the balance sheet date will remain unchanged for the remaining life of those assets. The amendments are effective in annual periods beginning after December 15, 2025, with early adoption permitted. The Company is currently evaluating the effects that adoption of this guidance will have on the condensed consolidated financial statements and related disclosures. </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3. Revenue, Receivables and Contract Assets and Liabilities</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Company’s revenue disaggregated by contract types:</w:t>
      </w:r>
    </w:p>
    <w:p>
      <w:pPr>
        <w:pStyle w:val="TextBody"/>
        <w:bidi w:val="0"/>
        <w:jc w:val="left"/>
        <w:rPr/>
      </w:pPr>
      <w:r>
        <w:rPr/>
        <w:t> </w:t>
      </w:r>
    </w:p>
    <w:tbl>
      <w:tblPr>
        <w:tblW w:w="7702" w:type="dxa"/>
        <w:jc w:val="left"/>
        <w:tblInd w:w="0" w:type="dxa"/>
        <w:tblLayout w:type="fixed"/>
        <w:tblCellMar>
          <w:top w:w="28" w:type="dxa"/>
          <w:left w:w="28" w:type="dxa"/>
          <w:bottom w:w="28" w:type="dxa"/>
          <w:right w:w="28" w:type="dxa"/>
        </w:tblCellMar>
      </w:tblPr>
      <w:tblGrid>
        <w:gridCol w:w="2521"/>
        <w:gridCol w:w="146"/>
        <w:gridCol w:w="211"/>
        <w:gridCol w:w="781"/>
        <w:gridCol w:w="146"/>
        <w:gridCol w:w="146"/>
        <w:gridCol w:w="211"/>
        <w:gridCol w:w="781"/>
        <w:gridCol w:w="146"/>
        <w:gridCol w:w="146"/>
        <w:gridCol w:w="211"/>
        <w:gridCol w:w="781"/>
        <w:gridCol w:w="146"/>
        <w:gridCol w:w="146"/>
        <w:gridCol w:w="211"/>
        <w:gridCol w:w="781"/>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reimbursable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and labor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250,512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360"/>
        <w:jc w:val="left"/>
        <w:rPr>
          <w:rFonts w:ascii="Times New Roman" w:hAnsi="Times New Roman"/>
          <w:color w:val="231F20"/>
          <w:sz w:val="20"/>
        </w:rPr>
      </w:pPr>
      <w:r>
        <w:rPr>
          <w:rFonts w:ascii="Times New Roman" w:hAnsi="Times New Roman"/>
          <w:color w:val="231F20"/>
          <w:sz w:val="20"/>
        </w:rPr>
        <w:t xml:space="preserve">Projects started after prior ownership ("Shimmick Projects") have focused on critical infrastructure aligned with our strategy, including water, climate resilience, energy transition and sustainable transportation. Projects that started under prior ownership or focus on foundation drilling are referred to as "Non-Core Projects" (formerly referred to as "Legacy and Foundations Projects"). </w:t>
      </w:r>
    </w:p>
    <w:p>
      <w:pPr>
        <w:pStyle w:val="TextBody"/>
        <w:bidi w:val="0"/>
        <w:jc w:val="left"/>
        <w:rPr>
          <w:rFonts w:ascii="Times New Roman" w:hAnsi="Times New Roman"/>
          <w:color w:val="231F20"/>
          <w:sz w:val="20"/>
        </w:rPr>
      </w:pPr>
      <w:r>
        <w:rPr>
          <w:rFonts w:ascii="Times New Roman" w:hAnsi="Times New Roman"/>
          <w:color w:val="231F20"/>
          <w:sz w:val="20"/>
        </w:rPr>
        <w:t>The following table presents the Company’s revenue disaggregated by Shimmick Projects and Non-Core Projects:</w:t>
      </w:r>
    </w:p>
    <w:p>
      <w:pPr>
        <w:pStyle w:val="TextBody"/>
        <w:bidi w:val="0"/>
        <w:spacing w:before="160" w:after="283"/>
        <w:jc w:val="left"/>
        <w:rPr/>
      </w:pPr>
      <w:r>
        <w:rPr/>
        <w:t> </w:t>
      </w:r>
    </w:p>
    <w:tbl>
      <w:tblPr>
        <w:tblW w:w="6817" w:type="dxa"/>
        <w:jc w:val="left"/>
        <w:tblInd w:w="0" w:type="dxa"/>
        <w:tblLayout w:type="fixed"/>
        <w:tblCellMar>
          <w:top w:w="28" w:type="dxa"/>
          <w:left w:w="28" w:type="dxa"/>
          <w:bottom w:w="28" w:type="dxa"/>
          <w:right w:w="28" w:type="dxa"/>
        </w:tblCellMar>
      </w:tblPr>
      <w:tblGrid>
        <w:gridCol w:w="1636"/>
        <w:gridCol w:w="146"/>
        <w:gridCol w:w="211"/>
        <w:gridCol w:w="781"/>
        <w:gridCol w:w="146"/>
        <w:gridCol w:w="146"/>
        <w:gridCol w:w="211"/>
        <w:gridCol w:w="781"/>
        <w:gridCol w:w="146"/>
        <w:gridCol w:w="146"/>
        <w:gridCol w:w="211"/>
        <w:gridCol w:w="781"/>
        <w:gridCol w:w="146"/>
        <w:gridCol w:w="146"/>
        <w:gridCol w:w="211"/>
        <w:gridCol w:w="781"/>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Projects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Non-Core Projects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pPr>
      <w:r>
        <w:rPr/>
        <w:t> </w:t>
      </w:r>
    </w:p>
    <w:p>
      <w:pPr>
        <w:pStyle w:val="TextBody"/>
        <w:bidi w:val="0"/>
        <w:spacing w:before="160" w:after="283"/>
        <w:jc w:val="left"/>
        <w:rPr>
          <w:rFonts w:ascii="Times New Roman" w:hAnsi="Times New Roman"/>
          <w:i/>
          <w:color w:val="231F20"/>
          <w:sz w:val="20"/>
        </w:rPr>
      </w:pPr>
      <w:r>
        <w:rPr>
          <w:rFonts w:ascii="Times New Roman" w:hAnsi="Times New Roman"/>
          <w:i/>
          <w:color w:val="231F20"/>
          <w:sz w:val="20"/>
        </w:rPr>
        <w:t>Remaining performance obligations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had $895 million of remaining performance obligations yet to be satisfied as of July 3, 2026. Our remaining performance obligations have a weighted average life of 2.2 years as of July 3,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Contract Balances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table provides information about contract assets (also referred to as costs and estimated earnings in excess of billings on uncompleted contracts and retainage receivable) and contract liabilities (also referred to as billings on uncompleted contracts in excess of costs and estimated earnings and forward loss reserve), which include assets and liabilities that are dependent upon future activity: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66"/>
        <w:gridCol w:w="146"/>
        <w:gridCol w:w="211"/>
        <w:gridCol w:w="781"/>
        <w:gridCol w:w="166"/>
        <w:gridCol w:w="146"/>
        <w:gridCol w:w="216"/>
        <w:gridCol w:w="801"/>
        <w:gridCol w:w="166"/>
        <w:gridCol w:w="146"/>
        <w:gridCol w:w="211"/>
        <w:gridCol w:w="736"/>
        <w:gridCol w:w="213"/>
      </w:tblGrid>
      <w:tr>
        <w:trPr/>
        <w:tc>
          <w:tcPr>
            <w:tcW w:w="6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current and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Costs and estimated earnings in excess of billings on uncompleted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Retainage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current and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Billings on uncompleted contracts in excess of costs and estimated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Forward loss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color w:val="231F20"/>
          <w:sz w:val="20"/>
        </w:rPr>
      </w:pPr>
      <w:r>
        <w:rPr>
          <w:rFonts w:ascii="Times New Roman" w:hAnsi="Times New Roman"/>
          <w:color w:val="231F20"/>
          <w:sz w:val="20"/>
        </w:rPr>
        <w:t xml:space="preserve">Contract terms with customers include the timing of billing and payment, which usually differs from the timing of revenue recognition. As a result, the Company carries contract assets and liabilities within the condensed consolidated balance sheets. These contract assets and liabilities are calculated on a contract-by-contract basis and reported on a net basis at the end of each period and are classified as current or non-current. Many of the contracts under which the Company performs work also contain retainage provisions. Retainage refers to that portion of our billings held for payment by the customer pending satisfactory completion of the project. Unless reserved, the Company assumes that all amounts retained by customers under such provisions are fully collectible. The majority of retainage receivable is expected to be collected within one year. These assets and liabilities are reported in the condensed consolidated balance sheets within “Contract assets, current,” “Contract liabilities, current" and “Contract liabilities, non-current." Costs and estimated earnings in excess of billings on uncompleted contracts consists of revenue recognized in excess of billings. </w:t>
      </w:r>
    </w:p>
    <w:p>
      <w:pPr>
        <w:pStyle w:val="TextBody"/>
        <w:bidi w:val="0"/>
        <w:spacing w:before="40" w:after="283"/>
        <w:jc w:val="left"/>
        <w:rPr>
          <w:rFonts w:ascii="Times New Roman" w:hAnsi="Times New Roman"/>
          <w:sz w:val="20"/>
        </w:rPr>
      </w:pPr>
      <w:r>
        <w:rPr>
          <w:rFonts w:ascii="Times New Roman" w:hAnsi="Times New Roman"/>
          <w:color w:val="231F20"/>
          <w:sz w:val="20"/>
        </w:rPr>
        <w:t xml:space="preserve">Billings on uncompleted contracts in excess of costs and estimated earnings consists of billings in excess of revenue recognized. The Company recognized revenue </w:t>
      </w:r>
      <w:r>
        <w:rPr>
          <w:rFonts w:ascii="Times New Roman" w:hAnsi="Times New Roman"/>
          <w:color w:val="000000"/>
          <w:sz w:val="20"/>
        </w:rPr>
        <w:t xml:space="preserve">of $19 </w:t>
      </w:r>
      <w:r>
        <w:rPr>
          <w:rFonts w:ascii="Times New Roman" w:hAnsi="Times New Roman"/>
          <w:color w:val="231F20"/>
          <w:sz w:val="20"/>
        </w:rPr>
        <w:t>million during the six months ended July 3, 2026 that was included in contract liabilities as of January 2, 2026.</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timing of revenue recognition may not be consistent with its rights to bill and collect cash from its clients. Those rights are generally dependent upon advance billing terms, milestone billings based on the completion of certain phases of work or when services are performed. The Company’s accounts receivable represents amounts billed to clients that have yet to be collected and represent an unconditional right to cash from its clients as presented below:</w:t>
      </w:r>
    </w:p>
    <w:p>
      <w:pPr>
        <w:pStyle w:val="TextBody"/>
        <w:bidi w:val="0"/>
        <w:jc w:val="left"/>
        <w:rPr/>
      </w:pPr>
      <w:r>
        <w:rPr/>
        <w:t> </w:t>
      </w:r>
    </w:p>
    <w:tbl>
      <w:tblPr>
        <w:tblW w:w="5292" w:type="dxa"/>
        <w:jc w:val="left"/>
        <w:tblInd w:w="0" w:type="dxa"/>
        <w:tblLayout w:type="fixed"/>
        <w:tblCellMar>
          <w:top w:w="28" w:type="dxa"/>
          <w:left w:w="28" w:type="dxa"/>
          <w:bottom w:w="28" w:type="dxa"/>
          <w:right w:w="28" w:type="dxa"/>
        </w:tblCellMar>
      </w:tblPr>
      <w:tblGrid>
        <w:gridCol w:w="2716"/>
        <w:gridCol w:w="146"/>
        <w:gridCol w:w="211"/>
        <w:gridCol w:w="676"/>
        <w:gridCol w:w="166"/>
        <w:gridCol w:w="146"/>
        <w:gridCol w:w="242"/>
        <w:gridCol w:w="778"/>
        <w:gridCol w:w="21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accounts receivable,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Substantially all contract assets as of July 3, 2026 and January 2, 2026 are expected to be collected within the Company’s estimated operating cycle. The Company’s operating cycle may extend beyond one year. </w:t>
      </w:r>
    </w:p>
    <w:p>
      <w:pPr>
        <w:pStyle w:val="TextBody"/>
        <w:bidi w:val="0"/>
        <w:spacing w:before="40" w:after="283"/>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Company is in the process of negotiating or awaiting approval of unapproved change orders and claims with its customers. The Company is proceeding with its contractual rights to recoup additional costs incurred from its customers based on completing work associated with change orders, including change orders with pending change order pricing, or claims related to significant changes in scope which resulted in substantial delays and additional costs in completing the work as well as termination cost on one Non-Core Project.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i/>
          <w:color w:val="000000"/>
          <w:sz w:val="20"/>
        </w:rPr>
        <w:t>Information about significant customers</w:t>
      </w:r>
      <w:r>
        <w:rPr>
          <w:rFonts w:ascii="Times New Roman" w:hAnsi="Times New Roman"/>
          <w:color w:val="000000"/>
          <w:sz w:val="20"/>
        </w:rPr>
        <w:t xml:space="preserve"> </w:t>
      </w:r>
    </w:p>
    <w:p>
      <w:pPr>
        <w:pStyle w:val="TextBody"/>
        <w:bidi w:val="0"/>
        <w:jc w:val="left"/>
        <w:rPr/>
      </w:pPr>
      <w:r>
        <w:rPr/>
        <w:t> </w:t>
      </w:r>
    </w:p>
    <w:tbl>
      <w:tblPr>
        <w:tblW w:w="6684" w:type="dxa"/>
        <w:jc w:val="left"/>
        <w:tblInd w:w="0" w:type="dxa"/>
        <w:tblLayout w:type="fixed"/>
        <w:tblCellMar>
          <w:top w:w="28" w:type="dxa"/>
          <w:left w:w="28" w:type="dxa"/>
          <w:bottom w:w="28" w:type="dxa"/>
          <w:right w:w="28" w:type="dxa"/>
        </w:tblCellMar>
      </w:tblPr>
      <w:tblGrid>
        <w:gridCol w:w="5716"/>
        <w:gridCol w:w="146"/>
        <w:gridCol w:w="631"/>
        <w:gridCol w:w="191"/>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 Customers as a Percentage of Accounts Receivable,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July 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January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289" w:type="dxa"/>
        <w:jc w:val="left"/>
        <w:tblInd w:w="0" w:type="dxa"/>
        <w:tblLayout w:type="fixed"/>
        <w:tblCellMar>
          <w:top w:w="28" w:type="dxa"/>
          <w:left w:w="28" w:type="dxa"/>
          <w:bottom w:w="28" w:type="dxa"/>
          <w:right w:w="28" w:type="dxa"/>
        </w:tblCellMar>
      </w:tblPr>
      <w:tblGrid>
        <w:gridCol w:w="4321"/>
        <w:gridCol w:w="146"/>
        <w:gridCol w:w="631"/>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 Customers as a Percentage of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July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July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three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four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289" w:type="dxa"/>
        <w:jc w:val="left"/>
        <w:tblInd w:w="0" w:type="dxa"/>
        <w:tblLayout w:type="fixed"/>
        <w:tblCellMar>
          <w:top w:w="28" w:type="dxa"/>
          <w:left w:w="28" w:type="dxa"/>
          <w:bottom w:w="28" w:type="dxa"/>
          <w:right w:w="28" w:type="dxa"/>
        </w:tblCellMar>
      </w:tblPr>
      <w:tblGrid>
        <w:gridCol w:w="4321"/>
        <w:gridCol w:w="146"/>
        <w:gridCol w:w="631"/>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 Customers as a Percentage of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July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July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three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four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Revisions in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Changes in contract estimates resulted in net increases in gross margin of $3 million and $6 million for the three and six months ended July 3, 2026, respectively, primarily due to a reduction in escalation costs on a Shimmick water project, estimated recovery on a pending change order, as well as a positive outcome of a project close-out and a project settlement, partially offset by increased forecasted cost to complete on a Shimmick bridge project.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Changes in contract estimates resulted in net decreases in gross margin of $5 million and $9 million for the three and six months ended July 4, 2025, respectively, primarily due to cost increases related to delays and lower productivity on a federal lock and dam Non-Core Project.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4. Joint Ventures and Variable Interest Entities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financial information of the consolidated joint ventures is as follows: </w:t>
      </w:r>
    </w:p>
    <w:p>
      <w:pPr>
        <w:pStyle w:val="TextBody"/>
        <w:bidi w:val="0"/>
        <w:jc w:val="left"/>
        <w:rPr/>
      </w:pPr>
      <w:r>
        <w:rPr/>
        <w:t> </w:t>
      </w:r>
    </w:p>
    <w:tbl>
      <w:tblPr>
        <w:tblW w:w="4657" w:type="dxa"/>
        <w:jc w:val="left"/>
        <w:tblInd w:w="0" w:type="dxa"/>
        <w:tblLayout w:type="fixed"/>
        <w:tblCellMar>
          <w:top w:w="28" w:type="dxa"/>
          <w:left w:w="28" w:type="dxa"/>
          <w:bottom w:w="28" w:type="dxa"/>
          <w:right w:w="28" w:type="dxa"/>
        </w:tblCellMar>
      </w:tblPr>
      <w:tblGrid>
        <w:gridCol w:w="1921"/>
        <w:gridCol w:w="146"/>
        <w:gridCol w:w="211"/>
        <w:gridCol w:w="676"/>
        <w:gridCol w:w="146"/>
        <w:gridCol w:w="146"/>
        <w:gridCol w:w="242"/>
        <w:gridCol w:w="778"/>
        <w:gridCol w:w="3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tbl>
      <w:tblPr>
        <w:tblW w:w="5770" w:type="dxa"/>
        <w:jc w:val="left"/>
        <w:tblInd w:w="0" w:type="dxa"/>
        <w:tblLayout w:type="fixed"/>
        <w:tblCellMar>
          <w:top w:w="28" w:type="dxa"/>
          <w:left w:w="28" w:type="dxa"/>
          <w:bottom w:w="28" w:type="dxa"/>
          <w:right w:w="28" w:type="dxa"/>
        </w:tblCellMar>
      </w:tblPr>
      <w:tblGrid>
        <w:gridCol w:w="1306"/>
        <w:gridCol w:w="146"/>
        <w:gridCol w:w="213"/>
        <w:gridCol w:w="577"/>
        <w:gridCol w:w="147"/>
        <w:gridCol w:w="147"/>
        <w:gridCol w:w="213"/>
        <w:gridCol w:w="577"/>
        <w:gridCol w:w="146"/>
        <w:gridCol w:w="146"/>
        <w:gridCol w:w="211"/>
        <w:gridCol w:w="571"/>
        <w:gridCol w:w="146"/>
        <w:gridCol w:w="146"/>
        <w:gridCol w:w="211"/>
        <w:gridCol w:w="676"/>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assets of the Company’s consolidated joint ventures are restricted for use only by the particular joint venture and are not available for the general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financial information of the unconsolidated joint ventures, as derived from their financial statements, is as follows:</w:t>
      </w:r>
    </w:p>
    <w:p>
      <w:pPr>
        <w:pStyle w:val="TextBody"/>
        <w:bidi w:val="0"/>
        <w:jc w:val="left"/>
        <w:rPr/>
      </w:pPr>
      <w:r>
        <w:rPr/>
        <w:t> </w:t>
      </w:r>
    </w:p>
    <w:tbl>
      <w:tblPr>
        <w:tblW w:w="4342" w:type="dxa"/>
        <w:jc w:val="left"/>
        <w:tblInd w:w="0" w:type="dxa"/>
        <w:tblLayout w:type="fixed"/>
        <w:tblCellMar>
          <w:top w:w="28" w:type="dxa"/>
          <w:left w:w="28" w:type="dxa"/>
          <w:bottom w:w="28" w:type="dxa"/>
          <w:right w:w="28" w:type="dxa"/>
        </w:tblCellMar>
      </w:tblPr>
      <w:tblGrid>
        <w:gridCol w:w="1606"/>
        <w:gridCol w:w="146"/>
        <w:gridCol w:w="211"/>
        <w:gridCol w:w="676"/>
        <w:gridCol w:w="146"/>
        <w:gridCol w:w="146"/>
        <w:gridCol w:w="242"/>
        <w:gridCol w:w="778"/>
        <w:gridCol w:w="3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6332" w:type="dxa"/>
        <w:jc w:val="left"/>
        <w:tblInd w:w="0" w:type="dxa"/>
        <w:tblLayout w:type="fixed"/>
        <w:tblCellMar>
          <w:top w:w="28" w:type="dxa"/>
          <w:left w:w="28" w:type="dxa"/>
          <w:bottom w:w="28" w:type="dxa"/>
          <w:right w:w="28" w:type="dxa"/>
        </w:tblCellMar>
      </w:tblPr>
      <w:tblGrid>
        <w:gridCol w:w="1531"/>
        <w:gridCol w:w="146"/>
        <w:gridCol w:w="211"/>
        <w:gridCol w:w="676"/>
        <w:gridCol w:w="146"/>
        <w:gridCol w:w="146"/>
        <w:gridCol w:w="211"/>
        <w:gridCol w:w="676"/>
        <w:gridCol w:w="166"/>
        <w:gridCol w:w="146"/>
        <w:gridCol w:w="211"/>
        <w:gridCol w:w="676"/>
        <w:gridCol w:w="146"/>
        <w:gridCol w:w="146"/>
        <w:gridCol w:w="211"/>
        <w:gridCol w:w="676"/>
        <w:gridCol w:w="21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recognized equity in earnings of unconsolidated joint ventures of $1 million and $2 million for the three and six months ended July 3, 2026, respectively, and equity in (loss) earnings of unconsolidated joint ventures of $(0.2) million and $0.5 million for the three and six months ended July 4, 2025, respectively.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Contractually required support provided to the Company’s joint ventures is discussed in Note 11 - Commitments and Contingencies. </w:t>
      </w:r>
    </w:p>
    <w:p>
      <w:pPr>
        <w:pStyle w:val="TextBody"/>
        <w:bidi w:val="0"/>
        <w:spacing w:before="240" w:after="283"/>
        <w:jc w:val="left"/>
        <w:rPr>
          <w:rFonts w:ascii="Times New Roman" w:hAnsi="Times New Roman"/>
          <w:sz w:val="20"/>
        </w:rPr>
      </w:pPr>
      <w:r>
        <w:rPr>
          <w:rFonts w:ascii="Times New Roman" w:hAnsi="Times New Roman"/>
          <w:i/>
          <w:color w:val="000000"/>
          <w:sz w:val="20"/>
        </w:rPr>
        <w:t>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often provide construction management and other subcontractor services to the Company’s joint ventures and revenue includes amounts related to these services which are eliminated to the extent of our ownership. Revenue included related to services provided to unconsolidated joint venture related parties is as follows:</w:t>
      </w:r>
    </w:p>
    <w:p>
      <w:pPr>
        <w:pStyle w:val="TextBody"/>
        <w:bidi w:val="0"/>
        <w:spacing w:before="120" w:after="283"/>
        <w:jc w:val="left"/>
        <w:rPr/>
      </w:pPr>
      <w:r>
        <w:rPr/>
        <w:t> </w:t>
      </w:r>
    </w:p>
    <w:tbl>
      <w:tblPr>
        <w:tblW w:w="5465" w:type="dxa"/>
        <w:jc w:val="left"/>
        <w:tblInd w:w="0" w:type="dxa"/>
        <w:tblLayout w:type="fixed"/>
        <w:tblCellMar>
          <w:top w:w="28" w:type="dxa"/>
          <w:left w:w="28" w:type="dxa"/>
          <w:bottom w:w="28" w:type="dxa"/>
          <w:right w:w="28" w:type="dxa"/>
        </w:tblCellMar>
      </w:tblPr>
      <w:tblGrid>
        <w:gridCol w:w="1306"/>
        <w:gridCol w:w="146"/>
        <w:gridCol w:w="254"/>
        <w:gridCol w:w="507"/>
        <w:gridCol w:w="176"/>
        <w:gridCol w:w="176"/>
        <w:gridCol w:w="254"/>
        <w:gridCol w:w="507"/>
        <w:gridCol w:w="146"/>
        <w:gridCol w:w="146"/>
        <w:gridCol w:w="225"/>
        <w:gridCol w:w="450"/>
        <w:gridCol w:w="153"/>
        <w:gridCol w:w="153"/>
        <w:gridCol w:w="225"/>
        <w:gridCol w:w="450"/>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5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included in the condensed consolidated balance sheets related to services provided to unconsolidated joint ventures as of July 3, 2026 and January 2, 2026 are as follows:</w:t>
      </w:r>
    </w:p>
    <w:p>
      <w:pPr>
        <w:pStyle w:val="TextBody"/>
        <w:bidi w:val="0"/>
        <w:jc w:val="left"/>
        <w:rPr/>
      </w:pPr>
      <w:r>
        <w:rPr/>
        <w:t> </w:t>
      </w:r>
    </w:p>
    <w:tbl>
      <w:tblPr>
        <w:tblW w:w="4547" w:type="dxa"/>
        <w:jc w:val="left"/>
        <w:tblInd w:w="0" w:type="dxa"/>
        <w:tblLayout w:type="fixed"/>
        <w:tblCellMar>
          <w:top w:w="28" w:type="dxa"/>
          <w:left w:w="28" w:type="dxa"/>
          <w:bottom w:w="28" w:type="dxa"/>
          <w:right w:w="28" w:type="dxa"/>
        </w:tblCellMar>
      </w:tblPr>
      <w:tblGrid>
        <w:gridCol w:w="2116"/>
        <w:gridCol w:w="146"/>
        <w:gridCol w:w="211"/>
        <w:gridCol w:w="571"/>
        <w:gridCol w:w="146"/>
        <w:gridCol w:w="146"/>
        <w:gridCol w:w="274"/>
        <w:gridCol w:w="746"/>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5. Property, Plant and Equipment and Intangible Assets</w:t>
      </w:r>
    </w:p>
    <w:p>
      <w:pPr>
        <w:pStyle w:val="TextBody"/>
        <w:bidi w:val="0"/>
        <w:jc w:val="left"/>
        <w:rPr>
          <w:rFonts w:ascii="Times New Roman" w:hAnsi="Times New Roman"/>
          <w:color w:val="000000"/>
          <w:sz w:val="20"/>
        </w:rPr>
      </w:pPr>
      <w:r>
        <w:rPr>
          <w:rFonts w:ascii="Times New Roman" w:hAnsi="Times New Roman"/>
          <w:color w:val="000000"/>
          <w:sz w:val="20"/>
        </w:rPr>
        <w:t>The following tables summarize the components of property, plant and equipment as of July 3, 2026 and January 2, 2026 and depreciation expense for the three and six months ended July 3, 2026 and July 4,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75"/>
        <w:gridCol w:w="746"/>
        <w:gridCol w:w="211"/>
        <w:gridCol w:w="736"/>
        <w:gridCol w:w="1166"/>
        <w:gridCol w:w="1146"/>
        <w:gridCol w:w="225"/>
        <w:gridCol w:w="788"/>
        <w:gridCol w:w="812"/>
      </w:tblGrid>
      <w:tr>
        <w:trPr/>
        <w:tc>
          <w:tcPr>
            <w:tcW w:w="43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4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land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equipment, and vehicles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50,835</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52,458</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software and construction in progress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6,883</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7,061</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37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Property, plant and equipment, gross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57,889</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59,690</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(51,144</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(49,119</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37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Property, plant and equipment,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6,745</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10,571</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64"/>
        <w:gridCol w:w="146"/>
        <w:gridCol w:w="211"/>
        <w:gridCol w:w="571"/>
        <w:gridCol w:w="1146"/>
        <w:gridCol w:w="1146"/>
        <w:gridCol w:w="211"/>
        <w:gridCol w:w="571"/>
        <w:gridCol w:w="146"/>
        <w:gridCol w:w="146"/>
        <w:gridCol w:w="211"/>
        <w:gridCol w:w="571"/>
        <w:gridCol w:w="1146"/>
        <w:gridCol w:w="1146"/>
        <w:gridCol w:w="211"/>
        <w:gridCol w:w="571"/>
        <w:gridCol w:w="191"/>
      </w:tblGrid>
      <w:tr>
        <w:trPr/>
        <w:tc>
          <w:tcPr>
            <w:tcW w:w="1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4,226</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is recorded within cost of revenue and selling, general and administrative expenses and is calculated using the straight-line method over the estimated useful lives of the assets, or in the case of leasehold improvements and capitalized leases, the lesser of the remaining term of the lease or its estimated useful life.</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tables present the Company’s finite-lived intangible assets, including the weighted average useful lives for each major intangible asset category and in total:</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334"/>
        <w:gridCol w:w="146"/>
        <w:gridCol w:w="773"/>
        <w:gridCol w:w="1917"/>
        <w:gridCol w:w="146"/>
        <w:gridCol w:w="146"/>
        <w:gridCol w:w="366"/>
        <w:gridCol w:w="1176"/>
        <w:gridCol w:w="146"/>
        <w:gridCol w:w="146"/>
        <w:gridCol w:w="404"/>
        <w:gridCol w:w="1415"/>
        <w:gridCol w:w="166"/>
        <w:gridCol w:w="146"/>
        <w:gridCol w:w="387"/>
        <w:gridCol w:w="1050"/>
        <w:gridCol w:w="146"/>
        <w:gridCol w:w="195"/>
      </w:tblGrid>
      <w:tr>
        <w:trPr/>
        <w:tc>
          <w:tcPr>
            <w:tcW w:w="1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3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5"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 2026</w:t>
            </w:r>
          </w:p>
        </w:tc>
      </w:tr>
      <w:tr>
        <w:trPr/>
        <w:tc>
          <w:tcPr>
            <w:tcW w:w="1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Useful 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348"/>
        <w:gridCol w:w="146"/>
        <w:gridCol w:w="793"/>
        <w:gridCol w:w="1965"/>
        <w:gridCol w:w="146"/>
        <w:gridCol w:w="146"/>
        <w:gridCol w:w="371"/>
        <w:gridCol w:w="1193"/>
        <w:gridCol w:w="146"/>
        <w:gridCol w:w="146"/>
        <w:gridCol w:w="409"/>
        <w:gridCol w:w="1433"/>
        <w:gridCol w:w="166"/>
        <w:gridCol w:w="146"/>
        <w:gridCol w:w="392"/>
        <w:gridCol w:w="1064"/>
        <w:gridCol w:w="195"/>
      </w:tblGrid>
      <w:tr>
        <w:trPr/>
        <w:tc>
          <w:tcPr>
            <w:tcW w:w="1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 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Useful 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Net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estimated aggregate remaining amortization is as follows:</w:t>
      </w:r>
    </w:p>
    <w:p>
      <w:pPr>
        <w:pStyle w:val="TextBody"/>
        <w:bidi w:val="0"/>
        <w:jc w:val="left"/>
        <w:rPr/>
      </w:pPr>
      <w:r>
        <w:rPr/>
        <w:t> </w:t>
      </w:r>
    </w:p>
    <w:tbl>
      <w:tblPr>
        <w:tblW w:w="2889" w:type="dxa"/>
        <w:jc w:val="left"/>
        <w:tblInd w:w="0" w:type="dxa"/>
        <w:tblLayout w:type="fixed"/>
        <w:tblCellMar>
          <w:top w:w="28" w:type="dxa"/>
          <w:left w:w="28" w:type="dxa"/>
          <w:bottom w:w="28" w:type="dxa"/>
          <w:right w:w="28" w:type="dxa"/>
        </w:tblCellMar>
      </w:tblPr>
      <w:tblGrid>
        <w:gridCol w:w="1306"/>
        <w:gridCol w:w="146"/>
        <w:gridCol w:w="336"/>
        <w:gridCol w:w="910"/>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Amortization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debt outstanding in the condensed consolidated balance sheets is comprised of the following:</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010"/>
        <w:gridCol w:w="746"/>
        <w:gridCol w:w="251"/>
        <w:gridCol w:w="805"/>
        <w:gridCol w:w="1166"/>
        <w:gridCol w:w="1146"/>
        <w:gridCol w:w="306"/>
        <w:gridCol w:w="982"/>
        <w:gridCol w:w="793"/>
      </w:tblGrid>
      <w:tr>
        <w:trPr/>
        <w:tc>
          <w:tcPr>
            <w:tcW w:w="401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 2026</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 2026</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61,318</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46,424</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ACF Credit Agreement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8,194</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Ansley Loan Agreement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10,149</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12,971</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Unamortized debt issuance costs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20"/>
              </w:rPr>
              <w:t>Total debt,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72,389</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64,459</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20"/>
              </w:rPr>
              <w:t>Less: Current portion of long-term debt,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Times New Roman" w:hAnsi="Times New Roman"/>
                <w:color w:val="000000"/>
                <w:sz w:val="20"/>
              </w:rPr>
              <w:t>Long-term debt, less current portion,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69,947</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60,316</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20, 2024, the Company, as guarantor, and its wholly-owned subsidiaries as borrowers (“Borrowers”), Alter Domus (US) LLC, as agent, and AECOM and Berkshire Hathaway Specialty Insurance Company (“BHSI”) as lenders, entered into a revolving credit facility (the “Credit Agreement”), which was most recently amended on July 29, 2026 to, among other things, waive the specified noncompliance of the Material Project Documents covenant regarding entering into non-bonded contracts. As amended, the Credit Agreement provides borrowing capacity up to $60 million. The obligations under the Credit Agreement bear interest at a per annum rate equal to One Month Term SOFR (as defined in the Credit Agreement), subject to a 1.00% floor, plus 3.50%. Interest on any outstanding amounts drawn under the Credit Agreement will be payable, in kind or in cash at our election, on the last day of each month and upon prepayment. Payment-in-kind interest accrued and capitalized shall not constitute loan outstanding amounts for the purposes of calculating loan availability.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Agreement matures on May 20, 2029 (the “Maturity Date”), and the Borrowers may borrow, repay and reborrow amounts under the Credit Agreement until the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Obligations of the Borrowers under the Credit Agreement are guaranteed by the Company and secured by a lien on substantially all assets of the Company and the Borrowers.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contains customary affirmative and negative covenants for a transaction of this type, including covenants that limit liens, asset sales and investments, in each case subject to negotiated exceptions and baskets. In addition, the Credit Agreement contains a maximum leverage ratio covenant as tested quarterly commencing with the close of the third quarter of 2027. The Credit Agreement also contains representations and warranties and event of default provisions customary for a transaction of this type. The Company is not aware of any instances of noncompliance with non-financial or financial covenants as of July 3, 2026.</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ACF Credit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12, 2025, we entered into a credit agreement (“ACF Credit Agreement”) with ACF FINCO I LP, which provides a total commitment of $15 million and bears interest at an annual rate of adjusted term SOFR (as defined in the ACF Credit Agreement), subject to a 2.0% floor, plus 4.50%. Further, the ACF Credit Agreement is subject to an annual unused line fee of 0.50%. The ACF Credit Agreement includes certain financial operating covenants, including a minimum liquidity requirement of $5 million. The ACF Credit Agreement matures on the earlier of March 12, 2028 or 90 days prior to the maturity date of the Credit Agreement. As of July 3, 2026, we are not aware of any instances of noncompliance with non-financial or financial covenants.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Ansley Loan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31, 2025, we entered into a loan and security agreement (the “Ansley Loan Agreement”) with Ansley Park Capital LLC which provides for a borrowing capacity of $15.0 million as evidenced by two promissory notes (each, a “Promissory Note,” and together, the “Promissory Notes”).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Each Promissory Note has a maturity date of April 1, 2031, and accrues interest at a rate of 12.50% per annum. Pursuant to the terms of the Ansley Loan Agreement, we granted a security interest in (a) certain items of equipment described therein, (b) all leases, rental contracts, chattel paper, accounts, security deposits and general intangibles relating thereto and (c) and any and all proceeds thereof as collateral for the payments under the Ansley Loan Agreement. The Ansley Loan Agreement contains customary affirmative and negative covenants for a transaction of this type. In connection with the Ansley Loan Agreement, we entered into a separate guaranty agreement (each, a “Guaranty Agreement,” and together, the “Guaranty Agreements”) in favor of the Ansley Park Capital LLC unconditionally guaranteeing our liabilities and the liabilities of one of our wholly-owned subsidiaries under the Ansley Loan Agreement. As of July 3, 2026, we are not aware of any instances of noncompliance with non-financial or financial covenants.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July 3, 2026, the Company paid $2 million in cash interest and expensed $2 million in non-cash payment-in-kind interest. The total accrued payment-in-kind interest as of July 3, 2026 was $6 million.</w:t>
      </w:r>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7. Income Taxes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We compute the year-to-date income tax provision by applying our estimated annual effective tax rate to our year-to-date pre-tax income and adjust for discrete tax items in the period in which they occur.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effective tax rate was 0% for the three and six months ended July 3, 2026 and July 4,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six months ended July 3, 2026 and July 4, 2025, the deferred tax provision resulting from the current year loss is completely offset by the valuation allowance, resulting in zero tax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generally anticipates a zero effective tax rate due to a full valuation allowance. However, the Company may recognize a current tax expense in a specific period if its taxable income, net of available deferred tax assets in that period, exceeds the allowable utilization of tax attributes such as NOL carryforwards. The allowable limitation typically restricts the use of NOL carryforwards to 80% of taxable income.</w:t>
      </w:r>
    </w:p>
    <w:p>
      <w:pPr>
        <w:pStyle w:val="TextBody"/>
        <w:bidi w:val="0"/>
        <w:spacing w:before="240" w:after="283"/>
        <w:jc w:val="left"/>
        <w:rPr>
          <w:rFonts w:ascii="Times New Roman" w:hAnsi="Times New Roman"/>
          <w:sz w:val="20"/>
        </w:rPr>
      </w:pPr>
      <w:r>
        <w:rPr>
          <w:rFonts w:ascii="Times New Roman" w:hAnsi="Times New Roman"/>
          <w:i/>
          <w:color w:val="000000"/>
          <w:sz w:val="20"/>
        </w:rPr>
        <w:t>Deferred Tax Assets and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evaluate the recoverability of our deferred tax assets, weighing all positive and negative evidence, and are required to establish or maintain a valuation allowance for these assets if we determine that it is more likely than not that some or all the deferred tax assets will not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each reporting date, we consider new evidence, both positive and negative, that could impact our view with regard to the future realization of deferred tax assets. We will maintain our positions with regard to future realization of deferred tax assets, including those with respect to which we continue maintaining valuation allowances, until there is sufficient new evidence to support a change in expectations. Such a change in expectations could arise due to many factors, including those impacting our forecasts of future earnings, as well as changes in the tax laws under which we operate and tax planning. It is not reasonably possible to forecast any such changes at the present time, but it is possible that, should they arise, our view of their effect on the future realization of deferred tax assets may impact materially our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cumulative pre-tax losses and other objective negative evidence, the Company concluded that it is more likely than not that its deferred tax assets will not be realized and therefore maintains a full valuation allowance as of July 3, 2026 and January 2, 2026. The amount of the deferred tax asset considered realizable, however, could be adjusted if estimates of future taxable income during the carryforward period are reduced or increased or if the objective negative evidence in the form of cumulative losses is no longer present and additional weight is given to subjective evidence such as our projections for growth.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8. Stock-Based Compensation</w:t>
      </w:r>
    </w:p>
    <w:p>
      <w:pPr>
        <w:pStyle w:val="TextBody"/>
        <w:bidi w:val="0"/>
        <w:jc w:val="left"/>
        <w:rPr>
          <w:rFonts w:ascii="Times New Roman" w:hAnsi="Times New Roman"/>
          <w:color w:val="000000"/>
          <w:sz w:val="20"/>
        </w:rPr>
      </w:pPr>
      <w:r>
        <w:rPr>
          <w:rFonts w:ascii="Times New Roman" w:hAnsi="Times New Roman"/>
          <w:color w:val="000000"/>
          <w:sz w:val="20"/>
        </w:rPr>
        <w:t>On April 12, 2021, the Company’s Board of Directors (the "Board") approved the Company’s 2021 Stock Plan (the “2021 Stock Plan”). The 2021 Stock Plan reserves 5,477,200 of the Company’s shares for issuance of incentive instruments, including Incentive Stock Options (“ISOs”), Non-statutory Stock Options, Stock Appreciation Rights, Restricted Stock Awards, and Restricted Stock Unit Awards. ISOs granted under the Plan have a term of 10 years and vest over four years of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13, 2023, the Company’s Board approved the Shimmick Corporation 2023 Equity Incentive Plan (the “2023 Omnibus Incentive Plan”). 3,729,149 was the maximum aggregate number of shares of common stock available under the 2023 Omnibus Incentive Plan (equal to ten percent (10%) of the Company’s common stock outstanding immediately following the completion of the Company’s IPO on November 16, 2023 plus the reserved and authorized shares for awards under the Company’s 2021 Stock Plan that were not granted as of November 13, 2023). The maximum aggregate number of shares of common stock that may be issued under the 2023 Omnibus Incentive Plan automatically increases annually on the first day of each fiscal year, beginning with the 2024 fiscal year in an amount equal to five percent (5%) of common stock outstanding on the last day of the immediately preceding fiscal year unless the plan administration determines that a lesser amount should instead be issued. The shares reserved under the 2023 Omnibus Incentive Plan are for issuance of incentive instruments, including stock options, restricted stock awards, restricted stock units, stock appreciation rights, performance units and other share-based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compensation expense related to stock-based grants was $1 million and $2 million for the three and six months ended July 3, 2026, respectively, and $2 million and $3 million for the three and six months ended July 4, 2025, respectively. Unrecognized compensation expense related to stock-based grants to employees of Shimmick outstanding was $5 million and $4 million as of July 3, 2026 and July 4, 2025, respectively, to be recognized on a straight-line basis over the awards’ weighted average remaining vesting period of 1 year and 0.8 years as of July 3, 2026 and July 4, 2025, respectively.</w:t>
      </w:r>
    </w:p>
    <w:p>
      <w:pPr>
        <w:pStyle w:val="TextBody"/>
        <w:bidi w:val="0"/>
        <w:spacing w:before="240" w:after="283"/>
        <w:jc w:val="left"/>
        <w:rPr>
          <w:rFonts w:ascii="Times New Roman" w:hAnsi="Times New Roman"/>
          <w:sz w:val="20"/>
        </w:rPr>
      </w:pPr>
      <w:r>
        <w:rPr>
          <w:rFonts w:ascii="Times New Roman" w:hAnsi="Times New Roman"/>
          <w:color w:val="000000"/>
          <w:sz w:val="20"/>
        </w:rPr>
        <w:t>For the</w:t>
      </w:r>
      <w:r>
        <w:rPr>
          <w:rFonts w:ascii="Times New Roman" w:hAnsi="Times New Roman"/>
          <w:color w:val="231F20"/>
          <w:sz w:val="20"/>
        </w:rPr>
        <w:t xml:space="preserve"> six months ended</w:t>
      </w:r>
      <w:r>
        <w:rPr>
          <w:rFonts w:ascii="Times New Roman" w:hAnsi="Times New Roman"/>
          <w:color w:val="000000"/>
          <w:sz w:val="20"/>
        </w:rPr>
        <w:t xml:space="preserve"> July 3, 2026 and July 4, 2025, stock option activity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82"/>
        <w:gridCol w:w="146"/>
        <w:gridCol w:w="167"/>
        <w:gridCol w:w="1071"/>
        <w:gridCol w:w="166"/>
        <w:gridCol w:w="146"/>
        <w:gridCol w:w="558"/>
        <w:gridCol w:w="1236"/>
        <w:gridCol w:w="146"/>
        <w:gridCol w:w="146"/>
        <w:gridCol w:w="532"/>
        <w:gridCol w:w="1178"/>
        <w:gridCol w:w="146"/>
        <w:gridCol w:w="146"/>
        <w:gridCol w:w="645"/>
        <w:gridCol w:w="1598"/>
        <w:gridCol w:w="396"/>
      </w:tblGrid>
      <w:tr>
        <w:trPr/>
        <w:tc>
          <w:tcPr>
            <w:tcW w:w="1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 Options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years of remaining contractual term</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Forfeited &amp;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July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1,286,260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July 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1,286,260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76"/>
        <w:gridCol w:w="146"/>
        <w:gridCol w:w="164"/>
        <w:gridCol w:w="1114"/>
        <w:gridCol w:w="166"/>
        <w:gridCol w:w="146"/>
        <w:gridCol w:w="555"/>
        <w:gridCol w:w="1229"/>
        <w:gridCol w:w="146"/>
        <w:gridCol w:w="146"/>
        <w:gridCol w:w="529"/>
        <w:gridCol w:w="1171"/>
        <w:gridCol w:w="146"/>
        <w:gridCol w:w="146"/>
        <w:gridCol w:w="641"/>
        <w:gridCol w:w="1589"/>
        <w:gridCol w:w="395"/>
      </w:tblGrid>
      <w:tr>
        <w:trPr/>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 Options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years of remaining contractual term</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Forfeited &amp;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July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2,091,283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July 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2,091,283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following table summarizes the activities for unvested Shimmick restricted stock units for the </w:t>
      </w:r>
      <w:r>
        <w:rPr>
          <w:rFonts w:ascii="Times New Roman" w:hAnsi="Times New Roman"/>
          <w:color w:val="231F20"/>
          <w:sz w:val="20"/>
        </w:rPr>
        <w:t>six months ended</w:t>
      </w:r>
      <w:r>
        <w:rPr>
          <w:rFonts w:ascii="Times New Roman" w:hAnsi="Times New Roman"/>
          <w:color w:val="000000"/>
          <w:sz w:val="20"/>
        </w:rPr>
        <w:t xml:space="preserve"> July 3, 2026 and July 4, 2025:</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tbl>
      <w:tblPr>
        <w:tblW w:w="8515" w:type="dxa"/>
        <w:jc w:val="left"/>
        <w:tblInd w:w="0" w:type="dxa"/>
        <w:tblLayout w:type="fixed"/>
        <w:tblCellMar>
          <w:top w:w="28" w:type="dxa"/>
          <w:left w:w="28" w:type="dxa"/>
          <w:bottom w:w="28" w:type="dxa"/>
          <w:right w:w="28" w:type="dxa"/>
        </w:tblCellMar>
      </w:tblPr>
      <w:tblGrid>
        <w:gridCol w:w="2641"/>
        <w:gridCol w:w="146"/>
        <w:gridCol w:w="215"/>
        <w:gridCol w:w="1375"/>
        <w:gridCol w:w="166"/>
        <w:gridCol w:w="146"/>
        <w:gridCol w:w="1069"/>
        <w:gridCol w:w="2366"/>
        <w:gridCol w:w="3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Restricted Stock Units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January 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Awarded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July 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2,277,947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8515" w:type="dxa"/>
        <w:jc w:val="left"/>
        <w:tblInd w:w="0" w:type="dxa"/>
        <w:tblLayout w:type="fixed"/>
        <w:tblCellMar>
          <w:top w:w="28" w:type="dxa"/>
          <w:left w:w="28" w:type="dxa"/>
          <w:bottom w:w="28" w:type="dxa"/>
          <w:right w:w="28" w:type="dxa"/>
        </w:tblCellMar>
      </w:tblPr>
      <w:tblGrid>
        <w:gridCol w:w="2641"/>
        <w:gridCol w:w="146"/>
        <w:gridCol w:w="215"/>
        <w:gridCol w:w="1375"/>
        <w:gridCol w:w="166"/>
        <w:gridCol w:w="146"/>
        <w:gridCol w:w="1069"/>
        <w:gridCol w:w="2366"/>
        <w:gridCol w:w="3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Restricted Stock Units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January 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Awarded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July 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2,604,929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9. Earnings Per Share</w:t>
      </w:r>
    </w:p>
    <w:p>
      <w:pPr>
        <w:pStyle w:val="TextBody"/>
        <w:bidi w:val="0"/>
        <w:jc w:val="left"/>
        <w:rPr>
          <w:rFonts w:ascii="Times New Roman" w:hAnsi="Times New Roman"/>
          <w:color w:val="000000"/>
          <w:sz w:val="20"/>
        </w:rPr>
      </w:pPr>
      <w:r>
        <w:rPr>
          <w:rFonts w:ascii="Times New Roman" w:hAnsi="Times New Roman"/>
          <w:color w:val="000000"/>
          <w:sz w:val="20"/>
        </w:rPr>
        <w:t xml:space="preserve">Basic earnings per share (“EPS”) is calculated based on the weighted average shares outstanding during the period. Diluted earnings per share includes the dilutive effect of employee and director stock options and restricted stock units. Stock options are considered dilutive whenever the exercise price is less than the average market price of the stock during the period and antidilutive whenever the exercise price exceeds the average market price of the common stock during the period. All 1.3 million and 2.1 million employee stock options as of July 3, 2026 and July 4, 2025, respectively, and 2.3 million and 2.6 million restricted stock units as of July 3, 2026 and July 4, 2025, respectively, were excluded from the calculation of diluted earnings per share as they are antidilutive to the EPS calculation.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computation of basic and diluted EPS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68"/>
        <w:gridCol w:w="346"/>
        <w:gridCol w:w="238"/>
        <w:gridCol w:w="764"/>
        <w:gridCol w:w="166"/>
        <w:gridCol w:w="146"/>
        <w:gridCol w:w="238"/>
        <w:gridCol w:w="764"/>
        <w:gridCol w:w="366"/>
        <w:gridCol w:w="346"/>
        <w:gridCol w:w="238"/>
        <w:gridCol w:w="764"/>
        <w:gridCol w:w="166"/>
        <w:gridCol w:w="146"/>
        <w:gridCol w:w="230"/>
        <w:gridCol w:w="804"/>
        <w:gridCol w:w="415"/>
      </w:tblGrid>
      <w:tr>
        <w:trPr/>
        <w:tc>
          <w:tcPr>
            <w:tcW w:w="406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0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per share data)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 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 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Shimmick Corporation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(18,295</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for basic and diluted EPS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(18,295</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basic EPS - weighted average shares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34,471</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stock options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potential common shares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diluted EPS - adjusted weighted average shares and assumed conversions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34,635</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34,471</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earnings per common share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earnings per common share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10.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 expenses recorded within the condensed consolidated statements of operations are comprised as follows:</w:t>
      </w:r>
    </w:p>
    <w:p>
      <w:pPr>
        <w:pStyle w:val="TextBody"/>
        <w:bidi w:val="0"/>
        <w:jc w:val="left"/>
        <w:rPr/>
      </w:pPr>
      <w:r>
        <w:rPr/>
        <w:t> </w:t>
      </w:r>
    </w:p>
    <w:tbl>
      <w:tblPr>
        <w:tblW w:w="11488" w:type="dxa"/>
        <w:jc w:val="left"/>
        <w:tblInd w:w="0" w:type="dxa"/>
        <w:tblLayout w:type="fixed"/>
        <w:tblCellMar>
          <w:top w:w="28" w:type="dxa"/>
          <w:left w:w="28" w:type="dxa"/>
          <w:bottom w:w="28" w:type="dxa"/>
          <w:right w:w="28" w:type="dxa"/>
        </w:tblCellMar>
      </w:tblPr>
      <w:tblGrid>
        <w:gridCol w:w="1491"/>
        <w:gridCol w:w="1146"/>
        <w:gridCol w:w="309"/>
        <w:gridCol w:w="837"/>
        <w:gridCol w:w="146"/>
        <w:gridCol w:w="1146"/>
        <w:gridCol w:w="309"/>
        <w:gridCol w:w="837"/>
        <w:gridCol w:w="146"/>
        <w:gridCol w:w="1146"/>
        <w:gridCol w:w="309"/>
        <w:gridCol w:w="837"/>
        <w:gridCol w:w="146"/>
        <w:gridCol w:w="1146"/>
        <w:gridCol w:w="309"/>
        <w:gridCol w:w="837"/>
        <w:gridCol w:w="391"/>
      </w:tblGrid>
      <w:tr>
        <w:trPr/>
        <w:tc>
          <w:tcPr>
            <w:tcW w:w="149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 (all in cost of revenue):</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Additional condensed consolidated balance sheets information related to leases is as follows:</w:t>
      </w:r>
    </w:p>
    <w:p>
      <w:pPr>
        <w:pStyle w:val="TextBody"/>
        <w:bidi w:val="0"/>
        <w:jc w:val="left"/>
        <w:rPr/>
      </w:pPr>
      <w:r>
        <w:rPr/>
        <w:t> </w:t>
      </w:r>
    </w:p>
    <w:tbl>
      <w:tblPr>
        <w:tblW w:w="12079" w:type="dxa"/>
        <w:jc w:val="left"/>
        <w:tblInd w:w="0" w:type="dxa"/>
        <w:tblLayout w:type="fixed"/>
        <w:tblCellMar>
          <w:top w:w="28" w:type="dxa"/>
          <w:left w:w="28" w:type="dxa"/>
          <w:bottom w:w="28" w:type="dxa"/>
          <w:right w:w="28" w:type="dxa"/>
        </w:tblCellMar>
      </w:tblPr>
      <w:tblGrid>
        <w:gridCol w:w="1466"/>
        <w:gridCol w:w="1646"/>
        <w:gridCol w:w="1646"/>
        <w:gridCol w:w="1646"/>
        <w:gridCol w:w="391"/>
        <w:gridCol w:w="1255"/>
        <w:gridCol w:w="146"/>
        <w:gridCol w:w="1646"/>
        <w:gridCol w:w="391"/>
        <w:gridCol w:w="1255"/>
        <w:gridCol w:w="591"/>
      </w:tblGrid>
      <w:tr>
        <w:trPr/>
        <w:tc>
          <w:tcPr>
            <w:tcW w:w="146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Classification</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Assets:</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5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500"/>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right-of-use assets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assets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right-of-use assets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assets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sz w:val="4"/>
                <w:szCs w:val="4"/>
              </w:rPr>
            </w:pPr>
            <w:r>
              <w:rPr>
                <w:sz w:val="4"/>
                <w:szCs w:val="4"/>
              </w:rPr>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color w:val="000000"/>
              </w:rPr>
            </w:pPr>
            <w:r>
              <w:rPr>
                <w:color w:val="000000"/>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color w:val="000000"/>
              </w:rPr>
            </w:pPr>
            <w:r>
              <w:rPr>
                <w:color w:val="000000"/>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lease 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100"/>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100"/>
              <w:jc w:val="left"/>
              <w:rPr>
                <w:color w:val="000000"/>
              </w:rPr>
            </w:pPr>
            <w:r>
              <w:rPr>
                <w:color w:val="000000"/>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sz w:val="4"/>
                <w:szCs w:val="4"/>
              </w:rPr>
            </w:pPr>
            <w:r>
              <w:rPr>
                <w:sz w:val="4"/>
                <w:szCs w:val="4"/>
              </w:rPr>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color w:val="000000"/>
              </w:rPr>
            </w:pPr>
            <w:r>
              <w:rPr>
                <w:color w:val="000000"/>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non-current</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non-current</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non-current lease liabilities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Weighted average remaining lease term information related to leases is as follows:</w:t>
      </w:r>
    </w:p>
    <w:p>
      <w:pPr>
        <w:pStyle w:val="TextBody"/>
        <w:bidi w:val="0"/>
        <w:jc w:val="left"/>
        <w:rPr/>
      </w:pPr>
      <w:r>
        <w:rPr/>
        <w:t> </w:t>
      </w:r>
    </w:p>
    <w:tbl>
      <w:tblPr>
        <w:tblW w:w="6205" w:type="dxa"/>
        <w:jc w:val="left"/>
        <w:tblInd w:w="0" w:type="dxa"/>
        <w:tblLayout w:type="fixed"/>
        <w:tblCellMar>
          <w:top w:w="28" w:type="dxa"/>
          <w:left w:w="28" w:type="dxa"/>
          <w:bottom w:w="28" w:type="dxa"/>
          <w:right w:w="28" w:type="dxa"/>
        </w:tblCellMar>
      </w:tblPr>
      <w:tblGrid>
        <w:gridCol w:w="4171"/>
        <w:gridCol w:w="146"/>
        <w:gridCol w:w="676"/>
        <w:gridCol w:w="146"/>
        <w:gridCol w:w="1066"/>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4.2</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7.4%</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Supplemental cash flow information related to leases is as follows:</w:t>
      </w:r>
    </w:p>
    <w:p>
      <w:pPr>
        <w:pStyle w:val="TextBody"/>
        <w:bidi w:val="0"/>
        <w:jc w:val="left"/>
        <w:rPr/>
      </w:pPr>
      <w:r>
        <w:rPr/>
        <w:t> </w:t>
      </w:r>
    </w:p>
    <w:tbl>
      <w:tblPr>
        <w:tblW w:w="8459" w:type="dxa"/>
        <w:jc w:val="left"/>
        <w:tblInd w:w="0" w:type="dxa"/>
        <w:tblLayout w:type="fixed"/>
        <w:tblCellMar>
          <w:top w:w="28" w:type="dxa"/>
          <w:left w:w="28" w:type="dxa"/>
          <w:bottom w:w="28" w:type="dxa"/>
          <w:right w:w="28" w:type="dxa"/>
        </w:tblCellMar>
      </w:tblPr>
      <w:tblGrid>
        <w:gridCol w:w="5866"/>
        <w:gridCol w:w="346"/>
        <w:gridCol w:w="211"/>
        <w:gridCol w:w="571"/>
        <w:gridCol w:w="146"/>
        <w:gridCol w:w="146"/>
        <w:gridCol w:w="211"/>
        <w:gridCol w:w="571"/>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new operating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Total remaining lease payments under both the Company’s operating and finance leases are as follows:</w:t>
      </w:r>
    </w:p>
    <w:p>
      <w:pPr>
        <w:pStyle w:val="TextBody"/>
        <w:bidi w:val="0"/>
        <w:jc w:val="left"/>
        <w:rPr/>
      </w:pPr>
      <w:r>
        <w:rPr/>
        <w:t> </w:t>
      </w:r>
    </w:p>
    <w:tbl>
      <w:tblPr>
        <w:tblW w:w="5158" w:type="dxa"/>
        <w:jc w:val="left"/>
        <w:tblInd w:w="0" w:type="dxa"/>
        <w:tblLayout w:type="fixed"/>
        <w:tblCellMar>
          <w:top w:w="28" w:type="dxa"/>
          <w:left w:w="28" w:type="dxa"/>
          <w:bottom w:w="28" w:type="dxa"/>
          <w:right w:w="28" w:type="dxa"/>
        </w:tblCellMar>
      </w:tblPr>
      <w:tblGrid>
        <w:gridCol w:w="2551"/>
        <w:gridCol w:w="146"/>
        <w:gridCol w:w="232"/>
        <w:gridCol w:w="744"/>
        <w:gridCol w:w="166"/>
        <w:gridCol w:w="146"/>
        <w:gridCol w:w="211"/>
        <w:gridCol w:w="571"/>
        <w:gridCol w:w="3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11. Commitments and Contingencies</w:t>
      </w:r>
    </w:p>
    <w:p>
      <w:pPr>
        <w:pStyle w:val="TextBody"/>
        <w:bidi w:val="0"/>
        <w:jc w:val="left"/>
        <w:rPr>
          <w:rFonts w:ascii="Times New Roman" w:hAnsi="Times New Roman"/>
          <w:color w:val="000000"/>
          <w:sz w:val="20"/>
        </w:rPr>
      </w:pPr>
      <w:r>
        <w:rPr>
          <w:rFonts w:ascii="Times New Roman" w:hAnsi="Times New Roman"/>
          <w:color w:val="000000"/>
          <w:sz w:val="20"/>
        </w:rPr>
        <w:t>In the Company’s joint venture arrangements, the liability of each partner is usually joint and several. This means as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In addition, the Company may be required to guarantee performance directly to the customer. The Company is unable to estimate the maximum potential amount of future payments that the Company could be required to make under outstanding performance guarantees related to joint venture projects due to a number of factors, including but not limited to, the nature and extent of any contractual defaults by the other joint venture partners, resource availability, potential performance delays caused by the defaults, the location of the projects, and the terms of the related contracts.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business, the Company is subject to other claims, lawsuits, investigations and disputes arising out of the conduct of its business, including matters relating to commercial transactions, government contracts, and employment matters. The Company recognizes a liability for contingencies that are probable of occurrence and reasonably estimable. To date, no such matters are material to the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certain contracts, there are provisions that require the Company to pay liquidated damages if the Company is responsible for the failure to meet specified contractual milestone dates and the applicable customer asserts a conforming claim under these provisions. These contracts define the conditions under which customers may make claims against the Company for liquidated damages. Based upon the evaluation of performance and other commercial and legal analysis, management has recognized relevant probable liquidated damages as of July 3, 2026 and January 2, 2026, and believes that the ultimate resolution of such matters will not materially affect the Company's condensed consolidated financial position, results of operations, or cash flows.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May 2025, a labor management committee affiliated with the Pipefitters Union filed a lawsuit against Shimmick and 20 other defendants, including sureties, alleging violations of the California False Claims Act and related claims. The lawsuit involves 27 projects across 23 public agencies in California, none of which are parties to the case. The Pipefitters Union alleges $4.7 billion in damages, which is based on the cumulative contract values for each project, plus treble damages under the California False Claims Act. The Union alleges Shimmick improperly assigned work to the Laborers Union instead of the Pipefitters Union and violated apprenticeship rules by failing to meet the required apprentice-to-journeyperson work ratio. Shimmick denies all claims, and asserts exceptions and disclosures occurred such that the claims have no merit. Shimmick also disputes the legal theory underlying the case and views the use of the False Claims Act as a misapplication of the statute. The process of discovery and evaluation is in its early stages and it is too early to assess if any loss is probable.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recorded contingent consideration as of July 3, 2026 and January 2, 2026 at its estimated fair value. The Company is unable to reasonably determine an estimated range of amounts of the payments that could be made due to the uncertainty of future events.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Guarantees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obtains bonding on construction contracts through third-party bonding companies. As is customary in the construction industry, the Company indemnifies the third-party bonding companies for any losses incurred by it in connection with bonds that are issued. The Company has granted the third-party bonding companies a security interest in accounts receivable, contract assets and contract rights for that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typically indemnifies contract owners for claims arising during the construction process and carries insurance coverage for such claims.</w:t>
      </w:r>
    </w:p>
    <w:p>
      <w:pPr>
        <w:pStyle w:val="TextBody"/>
        <w:bidi w:val="0"/>
        <w:spacing w:before="360" w:after="283"/>
        <w:jc w:val="left"/>
        <w:rPr>
          <w:rFonts w:ascii="Times New Roman" w:hAnsi="Times New Roman"/>
          <w:sz w:val="20"/>
        </w:rPr>
      </w:pPr>
      <w:r>
        <w:rPr>
          <w:rFonts w:ascii="Times New Roman" w:hAnsi="Times New Roman"/>
          <w:i/>
          <w:color w:val="000000"/>
          <w:sz w:val="20"/>
        </w:rPr>
        <w:t>Letters of Credit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and under certain contracts, the Company is required to post standby letters of credit for its insurance carriers. At July 3, 2026, the total amount of standby letters of credit outstanding was $10 million. The Company did not have any letters of credit outstanding as of January 2, 2026.</w:t>
      </w:r>
    </w:p>
    <w:p>
      <w:pPr>
        <w:pStyle w:val="TextBody"/>
        <w:bidi w:val="0"/>
        <w:spacing w:before="120" w:after="283"/>
        <w:jc w:val="left"/>
        <w:rPr/>
      </w:pPr>
      <w:r>
        <w:rPr/>
        <w:t> </w:t>
      </w:r>
    </w:p>
    <w:p>
      <w:pPr>
        <w:pStyle w:val="TextBody"/>
        <w:bidi w:val="0"/>
        <w:spacing w:before="0" w:after="20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9" w:name="item_2_mda"/>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Management’s Discussion and Analysis of Financial Condition and Results of Operations is intended to assist in understanding and assessing the trends and significant changes in our results of operations and financial condition. Historical results may not be indicative of future performance. The statements in this discussion regarding industry outlook, our expectations regarding our future performance, liquidity and capital resources and all other non-historical statements in this discussion are forward looking statements and are based on the beliefs of our management, as well as assumptions made by, and information currently available to, our management. Actual results could differ materially from those discussed in or implied by forward looking statements as a result of various factors, including those discussed below and elsewhere in this Form 10-Q, particularly in “Forward-Looking Statements” or in other sections of this Form 10-Q, as well as the “Risk Factors” section in the Form 10-K and those described from time to time in our future reports with the SEC. This discussion should be read in conjunction with our unaudited condensed consolidated financial statements and the notes thereto included elsewhere in this Form 10-Q.</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In this discussion, we use certain non-GAAP financial measures. Explanation of these non-GAAP financial measures and reconciliation to the most directly comparable GAAP financial measures are included in this Management’s Discussion and Analysis of Financial Condition and Results of Operations. Investors should not consider non-GAAP financial measures in isolation or as substitutes for financial information presented in compliance with GAAP.</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Overview</w:t>
      </w:r>
    </w:p>
    <w:p>
      <w:pPr>
        <w:pStyle w:val="TextBody"/>
        <w:bidi w:val="0"/>
        <w:jc w:val="left"/>
        <w:rPr>
          <w:rFonts w:ascii="Times New Roman" w:hAnsi="Times New Roman"/>
          <w:color w:val="000000"/>
          <w:sz w:val="20"/>
        </w:rPr>
      </w:pPr>
      <w:r>
        <w:rPr>
          <w:rFonts w:ascii="Times New Roman" w:hAnsi="Times New Roman"/>
          <w:color w:val="000000"/>
          <w:sz w:val="20"/>
        </w:rPr>
        <w:t>Shimmick is an industry leader in delivering turnkey infrastructure solutions that strengthen critical markets across water, energy, climate resiliency, and sustainable transportation. With a track record that spans over a century, Shimmick, headquartered in California, unites deep engineering heritage with entrepreneurial spirit to tackle today's most complex infrastructure challenges. We integrate technical excellence with collaborative project delivery methods to provide innovative, technology-driven infrastructure solutions that accelerate economic growth and empower communities nationwide.</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 long history of successfully completing complex water projects, ranging from the world’s largest wastewater recycling and purification system in California to the iconic Hoover Dam. According to Engineering News Record, in 2025, we are nationally ranked as a top fifteen builder of water supply (#12), dams and reservoirs (#8), and water treatment and desalination plants (#11). Our business includes construction operations from Morrison Knudsen and Washington Group International which were consolidated in 2017 by AECOM. In 2021, we were sold by AECOM and became an independent company under new private ownership (the "AECOM Sale Transaction"). In November 2023, we completed our initial public offering (the “IPO”) and currently our stock is listed for trading on the Nasdaq Capital Market under the symbol "SHIM". </w:t>
      </w:r>
    </w:p>
    <w:p>
      <w:pPr>
        <w:pStyle w:val="TextBody"/>
        <w:bidi w:val="0"/>
        <w:jc w:val="left"/>
        <w:rPr>
          <w:rFonts w:ascii="Times New Roman" w:hAnsi="Times New Roman"/>
          <w:color w:val="000000"/>
          <w:sz w:val="20"/>
        </w:rPr>
      </w:pPr>
      <w:r>
        <w:rPr>
          <w:rFonts w:ascii="Times New Roman" w:hAnsi="Times New Roman"/>
          <w:color w:val="000000"/>
          <w:sz w:val="20"/>
        </w:rPr>
        <w:br/>
        <w:t xml:space="preserve">We selectively focus on the following types of infrastructure projects: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Water Treatment and Resources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Water and Wastewater Treatment</w:t>
      </w:r>
      <w:r>
        <w:rPr>
          <w:rFonts w:ascii="Times New Roman" w:hAnsi="Times New Roman"/>
          <w:color w:val="000000"/>
          <w:sz w:val="20"/>
        </w:rPr>
        <w:t xml:space="preserve">. We expand, rehabilitate, upgrade, build and rebuild water and wastewater treatment infrastructure including desalination plants. We implement treatment technologies including ozonation, biological activated carbon, membrane filtration, reverse osmosis, chemical treatment, and oxidation. Our projects aim to ensure access to clean and safe drinking water, protect public health and reduce waterborne diseases and contribute to protecting the environment by removing pollutants and contaminants from wastewater before it is released back into ecosystems.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Water Resources. </w:t>
      </w:r>
      <w:r>
        <w:rPr>
          <w:rFonts w:ascii="Times New Roman" w:hAnsi="Times New Roman"/>
          <w:color w:val="000000"/>
          <w:sz w:val="20"/>
        </w:rPr>
        <w:t>We construct, rehabilitate and upgrade dams, reservoirs, and water conveyance and storage systems. This includes flood control systems, pump stations, and coastal protection infrastructure. Select projects of ours enable reliable water supply, generate hydroelectric power, and control flooding, ensuring water availability and energy security. Our work contributes to protecting communities from flood damage to safeguard lives, property and infrastructure.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Other Critical Infrastructure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build, retrofit, expand, rehabilitate, operate and maintain our nation’s critical infrastructure, including mass transit, bridges and military infrastructure. We work on projects that we believe are vital for economic growth, social connectivity, and accessibility. We believe our projects enable smooth and efficient movement of people and goods, foster trade, address environmental sustainability and improve quality of life for individuals and communities. Within critical infrastructure, we are focused primarily on the following types of projects: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Climate Resilience</w:t>
      </w:r>
      <w:r>
        <w:rPr>
          <w:rFonts w:ascii="Times New Roman" w:hAnsi="Times New Roman"/>
          <w:color w:val="000000"/>
          <w:sz w:val="20"/>
        </w:rPr>
        <w:t>. We build and upgrade levees, flood walls, pump stations, drainage systems, and strengthen existing infrastructure both in preparation to withstand severe weather events and in response to such events to facilitate recovery.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Transportation and Mobility</w:t>
      </w:r>
      <w:r>
        <w:rPr>
          <w:rFonts w:ascii="Times New Roman" w:hAnsi="Times New Roman"/>
          <w:color w:val="000000"/>
          <w:sz w:val="20"/>
        </w:rPr>
        <w:t>. We construct mass transit systems (light passenger rail and bus rapid transit), autonomous transportation solutions (personal rapid transit, autonomous fixed guideway people movers, etc.) and implement intelligent transportation technologies.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Energy Transition</w:t>
      </w:r>
      <w:r>
        <w:rPr>
          <w:rFonts w:ascii="Times New Roman" w:hAnsi="Times New Roman"/>
          <w:color w:val="000000"/>
          <w:sz w:val="20"/>
        </w:rPr>
        <w:t xml:space="preserve">. We modify facilities to accommodate electric vehicle fleets for transit agencies and municipalities, implement renewable energy components in our projects, and support data center construction.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July 3, 2026, we had a backlog of projects of approximately $991 million, mostly located in California, with ongoing projects in six other states. We self-perform many of these projects, which we believe allows us to better control critical aspects of construction, reduce cost and schedule risks, and deliver greater value to clients.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i/>
          <w:color w:val="000000"/>
          <w:sz w:val="20"/>
        </w:rPr>
        <w:t>Underwritten Offering</w:t>
      </w:r>
    </w:p>
    <w:p>
      <w:pPr>
        <w:pStyle w:val="TextBody"/>
        <w:bidi w:val="0"/>
        <w:jc w:val="left"/>
        <w:rPr>
          <w:rFonts w:ascii="Times New Roman" w:hAnsi="Times New Roman"/>
          <w:color w:val="000000"/>
          <w:sz w:val="20"/>
        </w:rPr>
      </w:pPr>
      <w:r>
        <w:rPr>
          <w:rFonts w:ascii="Times New Roman" w:hAnsi="Times New Roman"/>
          <w:color w:val="000000"/>
          <w:sz w:val="20"/>
        </w:rPr>
        <w:br/>
        <w:t>On May 22, 2026, we entered into an Underwriting Agreement (the “Underwriting Agreement”) with Roth Capital Partners, LLC, as the underwriter named therein (the “Underwriter”), in connection with an underwritten public offering of 3,730,000 shares of our common stock, par value $0.01 per share (the “Shares”), at a public offering price of $3.50 per Share.</w:t>
      </w:r>
    </w:p>
    <w:p>
      <w:pPr>
        <w:pStyle w:val="TextBody"/>
        <w:bidi w:val="0"/>
        <w:jc w:val="left"/>
        <w:rPr>
          <w:rFonts w:ascii="Times New Roman" w:hAnsi="Times New Roman"/>
          <w:color w:val="000000"/>
          <w:sz w:val="20"/>
        </w:rPr>
      </w:pPr>
      <w:r>
        <w:rPr>
          <w:rFonts w:ascii="Times New Roman" w:hAnsi="Times New Roman"/>
          <w:color w:val="000000"/>
          <w:sz w:val="20"/>
        </w:rPr>
        <w:br/>
        <w:t>Under the terms of the Underwriting Agreement, we granted the Underwriter a 30-day option to purchase up to 559,500 additional Shares. In connection with the closing of the offering, the Underwriter exercised its option to purchase all 559,500 additional Shares. As a result, we sold a total of 4,289,500 Shares in the offering. After the underwriting discount and estimated offering expenses payable by us, we received net proceeds from the offering of approximately $14.0 million. The offering, including the sale of the additional Shares, closed on May 26,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Our History and Initial Public Offering</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Overview</w:t>
      </w:r>
    </w:p>
    <w:p>
      <w:pPr>
        <w:pStyle w:val="TextBody"/>
        <w:bidi w:val="0"/>
        <w:jc w:val="left"/>
        <w:rPr>
          <w:rFonts w:ascii="Times New Roman" w:hAnsi="Times New Roman"/>
          <w:color w:val="000000"/>
          <w:sz w:val="20"/>
        </w:rPr>
      </w:pPr>
      <w:r>
        <w:rPr>
          <w:rFonts w:ascii="Times New Roman" w:hAnsi="Times New Roman"/>
          <w:color w:val="000000"/>
          <w:sz w:val="20"/>
        </w:rPr>
        <w:t xml:space="preserve">Shimmick was founded in 1990 in California and operated as a regional infrastructure construction contractor throughout California for nearly 30 years. In 2017, AECOM acquired Shimmick and consolidated it with its existing construction services, which included former construction operations from Morrison Knudsen, Washington Group International, and others. </w:t>
      </w:r>
    </w:p>
    <w:p>
      <w:pPr>
        <w:pStyle w:val="TextBody"/>
        <w:bidi w:val="0"/>
        <w:jc w:val="left"/>
        <w:rPr>
          <w:rFonts w:ascii="Times New Roman" w:hAnsi="Times New Roman"/>
          <w:color w:val="000000"/>
          <w:sz w:val="20"/>
        </w:rPr>
      </w:pPr>
      <w:r>
        <w:rPr>
          <w:rFonts w:ascii="Times New Roman" w:hAnsi="Times New Roman"/>
          <w:color w:val="000000"/>
          <w:sz w:val="20"/>
        </w:rPr>
        <w:t xml:space="preserve">In January 2021, we were sold by AECOM and began operating as an independent company under new private ownership (the "AECOM Sale Transaction") under a December 2020 Purchase Agreement with SCC Group, a special purpose entity formed for the purpose of entering into and consummating the sale transaction including acquiring 100% of the stock of the Company and certain other assets related to our business and our subsidiaries to the extent owned by Seller Entities or their affiliates. After the transaction, we began a transformation to shift our strategy to meet the nation’s growing need for water and other critical infrastructure and grow our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16, 2023, the Company completed its initial public offering of 3,575,000 shares of common stock at a price to the public of $7.00 per share (the “IPO”). The net proceeds to the Company from the IPO were approximately $19 million, after deducting underwriting discounts and commissions and before estimated offering expenses payable by the Company. Shimmick’s common stock began trading on November 14, 2023 and is currently listed for trading on the Nasdaq Capital Market under the symbol "SHIM". </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Key Factors Affecting Our Performance and Results of Operations</w:t>
      </w:r>
    </w:p>
    <w:p>
      <w:pPr>
        <w:pStyle w:val="TextBody"/>
        <w:bidi w:val="0"/>
        <w:jc w:val="left"/>
        <w:rPr/>
      </w:pPr>
      <w:r>
        <w:rPr/>
        <w:t> </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 xml:space="preserve">We expect that our results of operations will be affected by a number of factors which we have discussed below. </w:t>
      </w:r>
    </w:p>
    <w:p>
      <w:pPr>
        <w:pStyle w:val="TextBody"/>
        <w:bidi w:val="0"/>
        <w:jc w:val="left"/>
        <w:rPr>
          <w:rFonts w:ascii="Times New Roman" w:hAnsi="Times New Roman"/>
          <w:sz w:val="20"/>
        </w:rPr>
      </w:pPr>
      <w:r>
        <w:rPr>
          <w:rFonts w:ascii="Times New Roman" w:hAnsi="Times New Roman"/>
          <w:i/>
          <w:color w:val="231F20"/>
          <w:sz w:val="20"/>
        </w:rPr>
        <w:t xml:space="preserve">Weather, natural disasters and emergencies. </w:t>
      </w:r>
      <w:r>
        <w:rPr>
          <w:rFonts w:ascii="Times New Roman" w:hAnsi="Times New Roman"/>
          <w:color w:val="231F20"/>
          <w:sz w:val="20"/>
        </w:rPr>
        <w:t xml:space="preserve">The results of our business in a given period can be impacted by adverse weather conditions, severe weather events, natural disasters or other emergencies, which include, among other things, heavy or prolonged snowfall or rainfall, hurricanes, tropical storms, tornadoes, floods, blizzards, extreme temperatures, wildfires, post-wildfire floods and debris flows, pandemics and earthquakes. These conditions and events can negatively impact our financial results due to, among other things, the termination, deferral or delay of projects, reduced productivity and exposure to significant liabilities.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i/>
          <w:color w:val="231F20"/>
          <w:sz w:val="20"/>
        </w:rPr>
        <w:t xml:space="preserve">Seasonality. </w:t>
      </w:r>
      <w:r>
        <w:rPr>
          <w:rFonts w:ascii="Times New Roman" w:hAnsi="Times New Roman"/>
          <w:color w:val="231F20"/>
          <w:sz w:val="20"/>
        </w:rPr>
        <w:t xml:space="preserve">Typically, our revenue is lowest in the first quarter of the year because cold, snowy or wet conditions can create challenging working environments that are more costly for our customers or cause delays on projects. Second quarter revenue is typically higher than those in the first quarter, as some projects begin, but continued cold and wet weather can often impact productivity. Third quarter revenue is typically the highest of the year, as a greater number of projects are underway and operating conditions, including weather, are normally more accommodating. Project geographic location will also dictate how seasonality affects productivity and timing. Also, the holiday season and inclement weather can sometimes cause delays during the fourth quarter, reducing revenue and increasing costs.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i/>
          <w:color w:val="231F20"/>
          <w:sz w:val="20"/>
        </w:rPr>
        <w:t>Our Ability to Fulfill Backlog Orders</w:t>
      </w:r>
      <w:r>
        <w:rPr>
          <w:rFonts w:ascii="Times New Roman" w:hAnsi="Times New Roman"/>
          <w:color w:val="231F20"/>
          <w:sz w:val="20"/>
        </w:rPr>
        <w:t xml:space="preserve">. Our backlog consists of the estimated amount of services to be completed from future work on uncompleted contracts or work that has been awarded with contracts still being negotiated. It also includes revenue from change orders and renewal options. Most of our contracts are cancelable on short or no advance notice. Reductions in backlog due to cancellation by a customer, or for other reasons, could significantly reduce the revenue that we actually receive from contracts in backlog. In the event of a project cancellation, we may be reimbursed for certain costs, but we typically have no contractual right to the total revenues reflected in our backlog. Backlog amounts are determined based on target price estimates that incorporate historical trends, anticipated seasonal impacts, experience from similar projects and from communications with our customers. These estimates may prove inaccurate, which could cause estimated revenue to be realized in periods later than originally expected, or not at all. As a result, our backlog as of any particular date is an uncertain indicator of future revenue and earnings. In addition, contracts included in our backlog may not be profitable. If our backlog fails to materialize, our business, financial condition, results of operations and cash flows could be materially and adversely affected. </w:t>
      </w:r>
    </w:p>
    <w:p>
      <w:pPr>
        <w:pStyle w:val="TextBody"/>
        <w:bidi w:val="0"/>
        <w:jc w:val="left"/>
        <w:rPr>
          <w:rFonts w:ascii="Times New Roman" w:hAnsi="Times New Roman"/>
          <w:sz w:val="20"/>
        </w:rPr>
      </w:pPr>
      <w:r>
        <w:rPr>
          <w:rFonts w:ascii="Times New Roman" w:hAnsi="Times New Roman"/>
          <w:i/>
          <w:color w:val="231F20"/>
          <w:sz w:val="20"/>
        </w:rPr>
        <w:t xml:space="preserve">Our Ability to Obtain New Projects. </w:t>
      </w:r>
      <w:r>
        <w:rPr>
          <w:rFonts w:ascii="Times New Roman" w:hAnsi="Times New Roman"/>
          <w:color w:val="231F20"/>
          <w:sz w:val="20"/>
        </w:rPr>
        <w:t>We selectively bid on projects that we believe offer an opportunity to meet our profitability objectives or that offer the opportunity to enter promising new markets. The potential customers conduct rigorous competitive processes for awarding many contracts. We will potentially face strong competition and pricing pressures for any additional contract awards from other government agencies, and we may be required to qualify or continue to qualify under various multiple award task order contract criteria.</w:t>
      </w:r>
    </w:p>
    <w:p>
      <w:pPr>
        <w:pStyle w:val="TextBody"/>
        <w:bidi w:val="0"/>
        <w:jc w:val="left"/>
        <w:rPr>
          <w:rFonts w:ascii="Times New Roman" w:hAnsi="Times New Roman"/>
          <w:sz w:val="20"/>
        </w:rPr>
      </w:pPr>
      <w:r>
        <w:rPr>
          <w:rFonts w:ascii="Times New Roman" w:hAnsi="Times New Roman"/>
          <w:i/>
          <w:color w:val="231F20"/>
          <w:sz w:val="20"/>
        </w:rPr>
        <w:t>Our Ability to Successfully Expand our Footprint</w:t>
      </w:r>
      <w:r>
        <w:rPr>
          <w:rFonts w:ascii="Times New Roman" w:hAnsi="Times New Roman"/>
          <w:color w:val="231F20"/>
          <w:sz w:val="20"/>
        </w:rPr>
        <w:t>. We review our bidding opportunities to attempt to minimize concentration of work with any one customer, in any one industry, or in tight labor markets. We believe that by carefully positioning ourselves in markets that have meaningful barriers to entry, like those with highly technical or specialized scopes of work, we can continue to be competitive. For example, we target projects with significant, highly-technical work that we can self-perform. We believe this provides us with a distinct pricing advantage, as well as better risk management. In addition, as a result of federal and state-level infrastructure initiatives, we believe that funding for technical construction projects may exceed capacity, enabling us to opportunistically target smaller specialized projects with less risk at higher margins. Furthermore, on June 23, 2025, we announced the launch of Axia Electric, a dedicated subsidiary designed to meet growing demand for specialized, high-performance electrical and power distribution solutions, which represents an expansion of our electrical capabilities and positions us to expand to additional geographies such as Texas (where we were awarded a project in March 2026), Georgia and Tennessee. We may be limited in our ability to expand our footprint by barriers to entry to new markets, competition, and availability of capital and skilled labor.</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primarily compete for new contracts independently, seeking to win and complete new projects directly for our customers. Our customers primarily award contracts using one of two methods: the traditional public “competitive bid” method, in which price is the major determining factor, or through a “best value” or collaborative contract proposal, where contracts are awarded based on a combination of technical qualifications, proposed project team, schedule, the ability to obtain surety bonds, past performance on similar projects and price, which we believe creates a barrier to entry. Many of our contracts are awarded on a fixed-price basis, and we earn and recognize revenue using an input measure of total costs incurred divided by total costs expected to be incurred.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Our Ability to Obtain Approval of Change Orders and Successfully Pursue Claims.</w:t>
      </w:r>
      <w:r>
        <w:rPr>
          <w:rFonts w:ascii="Times New Roman" w:hAnsi="Times New Roman"/>
          <w:color w:val="231F20"/>
          <w:sz w:val="20"/>
        </w:rPr>
        <w:t xml:space="preserve"> We are subject to variation in scope and cost of projects from our original projections. In certain circumstances, we seek to collect or assert claims against customers, engineers, consultants, subcontractors or others involved in a project for additional costs exceeding the contract price or for amounts not included in the original contract price. Our experience has often been that public customers have been willing to negotiate equitable adjustments in the contract compensation or completion time provisions if unexpected circumstances arise. However, this process may result in disputes over whether the work performed is beyond the scope of the work included in the original project plans and specifications or, if the customer agrees that the work performed qualifies as extra work, the price that the customer is willing to pay for the extra work. Public customers may seek to impose contractual risk-shifting provisions more aggressively or there could be statutory and other legal prohibitions that prevent or limit contract changes or equitable adjustments.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Our Ability to Control Project Costs</w:t>
      </w:r>
      <w:r>
        <w:rPr>
          <w:rFonts w:ascii="Times New Roman" w:hAnsi="Times New Roman"/>
          <w:color w:val="231F20"/>
          <w:sz w:val="20"/>
        </w:rPr>
        <w:t xml:space="preserve">. Our costs primarily consist of payroll, equipment, materials, and other project related expenses. With a consistent focus on profitability by our management team, we leverage information technology and utilize financial systems to improve project execution and control costs. However, if we are unable to accurately estimate the overall risks, requirements or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231F20"/>
          <w:sz w:val="20"/>
        </w:rPr>
      </w:pPr>
      <w:r>
        <w:rPr>
          <w:rFonts w:ascii="Times New Roman" w:hAnsi="Times New Roman"/>
          <w:color w:val="231F20"/>
          <w:sz w:val="20"/>
        </w:rPr>
        <w:t xml:space="preserve">when we bid on or negotiate a contract that is ultimately awarded to us, we may achieve a lower than anticipated profit or incur a loss on the contract. Also, our labor and training expenses may increase as a result of a shortage in the supply of skilled personnel. We may not be able to pass these expenses on to our customers, which could adversely affect our profitability. To the extent that we are unable to buy construction equipment necessary for our needs, either due to a lack of available funding or equipment shortages in the marketplace, we may be forced to rent equipment on a short-term basis, which could increase the costs of performing our contracts. If we are unable to continue to maintain the equipment in our fleet, we may be forced to obtain third-party repair services, which could increase our costs. In addition, the market value of our equipment may unexpectedly decline at a faster rate than anticipated.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In addition, as is customary in the construction business, we are required to provide surety bonds to our customers to secure our performance under construction contracts. Our ability to obtain surety bonds primarily depends upon our capitalization, working capital, past performance, management expertise and reputation, as well as certain external factors, including the overall capacity of the surety market. Surety companies consider such factors in relationship to the amount of our backlog and their underwriting standards, which may change from time to time. Events that adversely affect the insurance and bonding markets generally may result in bonding becoming more difficult to obtain in the future, or being available only at a significantly greater cost. If we are unable to obtain adequate bonding or if the cost of bonding materially increased, it would limit the amount that we can bid on new contracts, limit the competitiveness of our bids, and could have a material adverse effect on our future revenue and business prospects.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Our Ability to Control Selling General and Administrative Costs</w:t>
      </w:r>
      <w:r>
        <w:rPr>
          <w:rFonts w:ascii="Times New Roman" w:hAnsi="Times New Roman"/>
          <w:color w:val="231F20"/>
          <w:sz w:val="20"/>
        </w:rPr>
        <w:t xml:space="preserve">. We incur significant expenses on an ongoing basis as a public company that we did not incur as a private company. Those costs include additional director and officer liability insurance expenses, stock exchange listing expenses, as well as third-party and internal resources related to accounting, auditing, Sarbanes-Oxley Act compliance, legal and investor and public relations expenses. These costs are generally selling, general and administrative expenses. We have also implemented the 2023 Omnibus Incentive Plan to align our equity compensation program with public company plans and practices, which increases our stock-based compensation expense.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Joint Ventures.</w:t>
      </w:r>
      <w:r>
        <w:rPr>
          <w:rFonts w:ascii="Times New Roman" w:hAnsi="Times New Roman"/>
          <w:color w:val="231F20"/>
          <w:sz w:val="20"/>
        </w:rPr>
        <w:t xml:space="preserve"> We participate in various construction joint ventures in order to share expertise, risk and resources for certain highly complex, large, and/or unique projects. Generally, each construction joint venture is formed to accomplish a specific project and is jointly controlled by the joint venture partners. We select our joint venture partners based on our analysis of their construction and financial capabilities, expertise in the type of work to be performed and past working relationships, among other criteria. The joint venture agreements typically provide that our interests in any profits and assets, and our respective share in any losses and liabilities, that may result from the performance of the contract are limited to our stated percentage interest in the project. Under each joint venture agreement, one partner is designated as the sponsor. The sponsoring partner typically provides administrative, accounting and much of the project management support for the project and generally receives a fee from the joint venture for these services. We have been designated as the sponsoring partner in some venture projects and are a non-sponsoring partner in others. We incur transaction and integration costs prior to fully realizing the benefits of acquisition synergies. Joint ventures often require significant investments before they begin operations and we incur many of these costs prior to realizing any gain on the investment in the joint venture. If we are unable to recoup these costs, it could have a significant impact on our business.</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How We Assess Performance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derive our revenue predominantly by providing infrastructure, operations and management services around the United States. We generally recognize revenue over-time as performance obligations are satisfied and control over promised goods or services are transferred to our customers. </w:t>
      </w:r>
    </w:p>
    <w:p>
      <w:pPr>
        <w:pStyle w:val="TextBody"/>
        <w:bidi w:val="0"/>
        <w:spacing w:before="120" w:after="283"/>
        <w:jc w:val="left"/>
        <w:rPr>
          <w:rFonts w:ascii="Times New Roman" w:hAnsi="Times New Roman"/>
          <w:sz w:val="20"/>
        </w:rPr>
      </w:pPr>
      <w:r>
        <w:rPr>
          <w:rFonts w:ascii="Times New Roman" w:hAnsi="Times New Roman"/>
          <w:i/>
          <w:color w:val="000000"/>
          <w:sz w:val="20"/>
        </w:rPr>
        <w:t>Gross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margin represents revenue less contract costs. Contract costs consist of all direct and indirect costs on contracts, including raw materials, labor, equipment costs, and subcontractor costs. If the estimates of costs to complete fixed-price contracts indicate a further loss, the entire amount of the additional loss expected over the life of the project is recognized in the current period in cost of revenue.</w:t>
      </w:r>
    </w:p>
    <w:p>
      <w:pPr>
        <w:pStyle w:val="TextBody"/>
        <w:bidi w:val="0"/>
        <w:spacing w:before="12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expenses consist primarily of salaries and personnel costs for our administrative, finance and accounting, legal, information systems, human resources and certain managerial employees. Additional expenses include audit, consulting and professional fees, travel, insurance, office space rental costs, property taxes and other corporate and overhead expenses. </w:t>
      </w:r>
    </w:p>
    <w:p>
      <w:pPr>
        <w:pStyle w:val="TextBody"/>
        <w:bidi w:val="0"/>
        <w:spacing w:before="120" w:after="283"/>
        <w:jc w:val="left"/>
        <w:rPr>
          <w:rFonts w:ascii="Times New Roman" w:hAnsi="Times New Roman"/>
          <w:sz w:val="20"/>
        </w:rPr>
      </w:pPr>
      <w:r>
        <w:rPr>
          <w:rFonts w:ascii="Times New Roman" w:hAnsi="Times New Roman"/>
          <w:i/>
          <w:color w:val="000000"/>
          <w:sz w:val="20"/>
        </w:rPr>
        <w:t>Equity in Earnings (Loss) of Unconsolidated Joint Ventures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Equity in earnings of unconsolidated joint ventures includes our return on investment in unconsolidated joint ventures.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Net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represents earnings after consideration of all operating expenses and other income and expenses to measure loss to allocate resources and assess financial performance.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Three Months Ended July 3, 2026 compared to the Three Months Ended July 4,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selected financial data for the three months ended July 3, 2026 compared to the three months ended July 4,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59"/>
        <w:gridCol w:w="196"/>
        <w:gridCol w:w="691"/>
        <w:gridCol w:w="166"/>
        <w:gridCol w:w="146"/>
        <w:gridCol w:w="196"/>
        <w:gridCol w:w="691"/>
        <w:gridCol w:w="166"/>
        <w:gridCol w:w="146"/>
        <w:gridCol w:w="196"/>
        <w:gridCol w:w="661"/>
        <w:gridCol w:w="166"/>
        <w:gridCol w:w="146"/>
        <w:gridCol w:w="177"/>
        <w:gridCol w:w="529"/>
        <w:gridCol w:w="301"/>
        <w:gridCol w:w="146"/>
        <w:gridCol w:w="165"/>
        <w:gridCol w:w="427"/>
        <w:gridCol w:w="301"/>
        <w:gridCol w:w="146"/>
        <w:gridCol w:w="165"/>
        <w:gridCol w:w="427"/>
        <w:gridCol w:w="395"/>
      </w:tblGrid>
      <w:tr>
        <w:trPr/>
        <w:tc>
          <w:tcPr>
            <w:tcW w:w="34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4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Revenue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4,</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 thousands, except percentage data)</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margin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 expenses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operating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 earnings (loss) of unconsolidated joint ventures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sale of assets, net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operations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 (income), net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before income tax</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Revenue and gross margin</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following table sets forth selected revenue and gross margin data for the three months ended July 3, 2026 compared to the three months ended July 4, 2025:</w:t>
      </w:r>
    </w:p>
    <w:p>
      <w:pPr>
        <w:pStyle w:val="TextBody"/>
        <w:bidi w:val="0"/>
        <w:jc w:val="left"/>
        <w:rPr/>
      </w:pPr>
      <w:r>
        <w:rPr/>
        <w:t> </w:t>
      </w:r>
    </w:p>
    <w:tbl>
      <w:tblPr>
        <w:tblW w:w="9262" w:type="dxa"/>
        <w:jc w:val="left"/>
        <w:tblInd w:w="0" w:type="dxa"/>
        <w:tblLayout w:type="fixed"/>
        <w:tblCellMar>
          <w:top w:w="28" w:type="dxa"/>
          <w:left w:w="28" w:type="dxa"/>
          <w:bottom w:w="28" w:type="dxa"/>
          <w:right w:w="28" w:type="dxa"/>
        </w:tblCellMar>
      </w:tblPr>
      <w:tblGrid>
        <w:gridCol w:w="3316"/>
        <w:gridCol w:w="242"/>
        <w:gridCol w:w="898"/>
        <w:gridCol w:w="271"/>
        <w:gridCol w:w="146"/>
        <w:gridCol w:w="242"/>
        <w:gridCol w:w="898"/>
        <w:gridCol w:w="331"/>
        <w:gridCol w:w="146"/>
        <w:gridCol w:w="211"/>
        <w:gridCol w:w="736"/>
        <w:gridCol w:w="166"/>
        <w:gridCol w:w="146"/>
        <w:gridCol w:w="230"/>
        <w:gridCol w:w="761"/>
        <w:gridCol w:w="331"/>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percentage data)</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Shimmick Projects</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112,619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Non-Core Projects</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Total</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Shimmick Projects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Projects started after the AECOM Sale Transaction ("Shimmick Projects") have focused on critical infrastructure aligned with our strategy, including water, climate resilience, energy transition and sustainable transportation. Revenue recognized on Shimmick Projects was $96 million and $113 million for the three months ended July 3, 2026 and July 4, 2025, respectively. The $17 million decrease in revenue was primarily the result of a $22 million decrease in revenue as the result of the completion of a lower margin operation and maintenance project during the third quarter of fiscal year 2025 and $32 million of decreases in revenue from lower activity on existing projects and projects winding down. These decreases were partially offset by $37 million of increases in revenue from new higher margin projects ramping up.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Gross margin recognized on Shimmick Projects was $11 million and $15 million for the three months ended July 3, 2026 and July 4, 2025, respectively. The $4 million decrease in gross margin was primarily the result of $12 million of decreases in gross margin from lower activity on existing projects and projects winding down, partially offset by $8 million of increases in gross margin from new higher margin projects ramping up.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Non-Core Projects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As part of the AECOM Sale Transaction, we acquired projects and backlog that were started under prior ownership (formerly referred to as "Legacy and Foundations Projects").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Non-Core Projects revenue was $11 million and $16 million for the three months ended July 3, 2026 and July 4, 2025, respectively. The $5 million decrease was primarily the result of the Company working to wind down these Non-Core projects as well as the termination of one Non-Core project in Tennessee. </w:t>
      </w:r>
    </w:p>
    <w:p>
      <w:pPr>
        <w:pStyle w:val="TextBody"/>
        <w:bidi w:val="0"/>
        <w:jc w:val="left"/>
        <w:rPr>
          <w:rFonts w:ascii="Times New Roman" w:hAnsi="Times New Roman"/>
          <w:color w:val="000000"/>
          <w:sz w:val="20"/>
        </w:rPr>
      </w:pPr>
      <w:r>
        <w:rPr>
          <w:rFonts w:ascii="Times New Roman" w:hAnsi="Times New Roman"/>
          <w:color w:val="000000"/>
          <w:sz w:val="20"/>
        </w:rPr>
        <w:t>Gross margin recognized on Non-Core Projects was $2 million for the three months ended July 3, 2026 as compared to $(7) million for the three months ended July 4, 2025. The $9 million increase was primarily the result of certain time and design-related schedule extensions identified during the three months ended July 4, 2025 which did not reoccur during the three months ended July 3, 2026 as well as a favorable settlement and closeout of other Non-Core projects in the current year.</w:t>
      </w:r>
    </w:p>
    <w:p>
      <w:pPr>
        <w:pStyle w:val="TextBody"/>
        <w:bidi w:val="0"/>
        <w:jc w:val="left"/>
        <w:rPr>
          <w:rFonts w:ascii="Times New Roman" w:hAnsi="Times New Roman"/>
          <w:color w:val="231F20"/>
          <w:sz w:val="20"/>
        </w:rPr>
      </w:pPr>
      <w:r>
        <w:rPr>
          <w:rFonts w:ascii="Times New Roman" w:hAnsi="Times New Roman"/>
          <w:color w:val="231F20"/>
          <w:sz w:val="20"/>
        </w:rPr>
        <w:t>A subset of Non-Core Projects ("Non-Core Loss Projects") has experienced significant cost overruns due to the COVID pandemic, design issues, legal costs and other factors. In the Non-Core Loss Projects, we have recognized the estimated costs to complete and the loss expected from these projects. If the estimates of costs to complete fixed-price contracts indicate a further loss, the entire amount of the additional loss expected over the life of the project is recognized as a period cost in the cost of revenue. As these Non-Core Loss Projects continue to wind down to completion, no further gross margin will be recognized absent external factors and in some cases, there may be additional costs associated with these projects that could lower gross margin. Revenue recognized on these Non-Core Loss Projects was $10 million and $13 million for the three months ended July 3, 2026 and July 4, 2025, respectively. Gross margin recognized on these Non-Core Loss Projects was $1 million and $(3) million for the three months ended July 3, 2026 and July 4, 2025, respectively. The change in gross margin was primarily the result of cost increases for time and design-related schedule extensions identified during the three months ended July 4, 2025 which did not reoccur during the three months ended July 3, 2026.</w:t>
      </w:r>
    </w:p>
    <w:p>
      <w:pPr>
        <w:pStyle w:val="TextBody"/>
        <w:bidi w:val="0"/>
        <w:jc w:val="left"/>
        <w:rPr>
          <w:rFonts w:ascii="Times New Roman" w:hAnsi="Times New Roman"/>
          <w:i/>
          <w:color w:val="231F20"/>
          <w:sz w:val="20"/>
        </w:rPr>
      </w:pPr>
      <w:r>
        <w:rPr>
          <w:rFonts w:ascii="Times New Roman" w:hAnsi="Times New Roman"/>
          <w:i/>
          <w:color w:val="231F20"/>
          <w:sz w:val="20"/>
        </w:rPr>
        <w:t>Selling, general and administrative expenses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Selling, general and administrative expenses increased by $1 million during the three months ended July 3, 2026 primarily as a result of increases in legal costs.</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Equity in earnings (loss) of unconsolidated joint ventures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Equity in earnings (loss) of unconsolidated joint ventures increased by $1 million during the three months ended July 3, 2026 primarily as the result of an increase in activity on a dam project in the current year as well cost increases incurred on a transit project during the three months ended July 4, 2025 which did not reoccur during the three months ended July 3, 2026.</w:t>
      </w:r>
    </w:p>
    <w:p>
      <w:pPr>
        <w:pStyle w:val="TextBody"/>
        <w:bidi w:val="0"/>
        <w:jc w:val="left"/>
        <w:rPr>
          <w:rFonts w:ascii="Times New Roman" w:hAnsi="Times New Roman"/>
          <w:i/>
          <w:color w:val="231F20"/>
          <w:sz w:val="20"/>
        </w:rPr>
      </w:pPr>
      <w:r>
        <w:rPr>
          <w:rFonts w:ascii="Times New Roman" w:hAnsi="Times New Roman"/>
          <w:i/>
          <w:color w:val="231F20"/>
          <w:sz w:val="20"/>
        </w:rPr>
        <w:t>Gain on sale of assets, net</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Gain on sale of assets, net remained approximately flat period over period.</w:t>
      </w:r>
    </w:p>
    <w:p>
      <w:pPr>
        <w:pStyle w:val="TextBody"/>
        <w:bidi w:val="0"/>
        <w:jc w:val="left"/>
        <w:rPr>
          <w:rFonts w:ascii="Times New Roman" w:hAnsi="Times New Roman"/>
          <w:i/>
          <w:color w:val="231F20"/>
          <w:sz w:val="20"/>
        </w:rPr>
      </w:pPr>
      <w:r>
        <w:rPr>
          <w:rFonts w:ascii="Times New Roman" w:hAnsi="Times New Roman"/>
          <w:i/>
          <w:color w:val="231F20"/>
          <w:sz w:val="20"/>
        </w:rPr>
        <w:t>Interest expense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Interest expense increased by $1 million during the three months ended July 3, 2026 primarily due to increased average long-term debt balances outstanding during the three months ended July 3, 2026 as compared to the three months ended July 4,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231F20"/>
          <w:sz w:val="20"/>
        </w:rPr>
      </w:pPr>
      <w:r>
        <w:rPr>
          <w:rFonts w:ascii="Times New Roman" w:hAnsi="Times New Roman"/>
          <w:i/>
          <w:color w:val="231F20"/>
          <w:sz w:val="20"/>
        </w:rPr>
        <w:t>Other expense (income), net</w:t>
      </w:r>
    </w:p>
    <w:p>
      <w:pPr>
        <w:pStyle w:val="TextBody"/>
        <w:bidi w:val="0"/>
        <w:jc w:val="left"/>
        <w:rPr>
          <w:rFonts w:ascii="Times New Roman" w:hAnsi="Times New Roman"/>
          <w:color w:val="231F20"/>
          <w:sz w:val="20"/>
        </w:rPr>
      </w:pPr>
      <w:r>
        <w:rPr>
          <w:rFonts w:ascii="Times New Roman" w:hAnsi="Times New Roman"/>
          <w:color w:val="231F20"/>
          <w:sz w:val="20"/>
        </w:rPr>
        <w:t>Other expense (income), net remained approximately flat period over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Income tax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Due to an expected tax loss for the fiscal year ending 2026 and a realized tax loss for the fiscal year ended 2025, no income tax expense was recorded for either the three months ended July 3, 2026 or the three months ended July 4, 2025.</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Net loss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Net loss decreased by $4 million to a net loss of $5 million for the three months ended July 3, 2026, primarily due to an increase in gross margin of $4 million and an increase in equity in earnings (loss) of unconsolidated joint ventures of $1 million, partially offset by an increase in interest expense of $1 million and an increase in selling, general and administrative expenses of $1 million, all as described above.</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Six Months Ended July 3, 2026 compared to the Six Months Ended July 4, 2025</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following table sets forth selected financial data for the six months ended July 3, 2026 compared to the six months ended July 4,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22"/>
        <w:gridCol w:w="196"/>
        <w:gridCol w:w="691"/>
        <w:gridCol w:w="166"/>
        <w:gridCol w:w="146"/>
        <w:gridCol w:w="196"/>
        <w:gridCol w:w="691"/>
        <w:gridCol w:w="166"/>
        <w:gridCol w:w="146"/>
        <w:gridCol w:w="196"/>
        <w:gridCol w:w="661"/>
        <w:gridCol w:w="166"/>
        <w:gridCol w:w="146"/>
        <w:gridCol w:w="177"/>
        <w:gridCol w:w="529"/>
        <w:gridCol w:w="308"/>
        <w:gridCol w:w="146"/>
        <w:gridCol w:w="168"/>
        <w:gridCol w:w="435"/>
        <w:gridCol w:w="308"/>
        <w:gridCol w:w="146"/>
        <w:gridCol w:w="168"/>
        <w:gridCol w:w="435"/>
        <w:gridCol w:w="396"/>
      </w:tblGrid>
      <w:tr>
        <w:trPr/>
        <w:tc>
          <w:tcPr>
            <w:tcW w:w="34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Revenue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3,</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4,</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 thousands, except percentage data)</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margin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 expenses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operating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 earnings of unconsolidated joint ventures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gain on sale of assets, net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from operations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 (income), net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before income tax</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Revenue and gross margin</w:t>
      </w:r>
      <w:r>
        <w:rPr>
          <w:rFonts w:ascii="Times New Roman" w:hAnsi="Times New Roman"/>
          <w:color w:val="231F20"/>
          <w:sz w:val="20"/>
        </w:rPr>
        <w:t xml:space="preserve"> </w:t>
      </w:r>
    </w:p>
    <w:p>
      <w:pPr>
        <w:pStyle w:val="TextBody"/>
        <w:bidi w:val="0"/>
        <w:jc w:val="left"/>
        <w:rPr>
          <w:rFonts w:ascii="Times New Roman" w:hAnsi="Times New Roman"/>
          <w:color w:val="231F20"/>
          <w:sz w:val="20"/>
        </w:rPr>
      </w:pPr>
      <w:r>
        <w:rPr>
          <w:rFonts w:ascii="Times New Roman" w:hAnsi="Times New Roman"/>
          <w:color w:val="231F20"/>
          <w:sz w:val="20"/>
        </w:rPr>
        <w:t>The following table sets forth selected revenue and gross margin data for the six months ended July 3, 2026 compared to the six months ended July 4, 2025:</w:t>
      </w:r>
    </w:p>
    <w:p>
      <w:pPr>
        <w:pStyle w:val="TextBody"/>
        <w:bidi w:val="0"/>
        <w:jc w:val="left"/>
        <w:rPr/>
      </w:pPr>
      <w:r>
        <w:rPr/>
        <w:t> </w:t>
      </w:r>
    </w:p>
    <w:tbl>
      <w:tblPr>
        <w:tblW w:w="9262" w:type="dxa"/>
        <w:jc w:val="left"/>
        <w:tblInd w:w="0" w:type="dxa"/>
        <w:tblLayout w:type="fixed"/>
        <w:tblCellMar>
          <w:top w:w="28" w:type="dxa"/>
          <w:left w:w="28" w:type="dxa"/>
          <w:bottom w:w="28" w:type="dxa"/>
          <w:right w:w="28" w:type="dxa"/>
        </w:tblCellMar>
      </w:tblPr>
      <w:tblGrid>
        <w:gridCol w:w="3316"/>
        <w:gridCol w:w="242"/>
        <w:gridCol w:w="898"/>
        <w:gridCol w:w="271"/>
        <w:gridCol w:w="146"/>
        <w:gridCol w:w="242"/>
        <w:gridCol w:w="898"/>
        <w:gridCol w:w="331"/>
        <w:gridCol w:w="146"/>
        <w:gridCol w:w="211"/>
        <w:gridCol w:w="736"/>
        <w:gridCol w:w="166"/>
        <w:gridCol w:w="146"/>
        <w:gridCol w:w="230"/>
        <w:gridCol w:w="761"/>
        <w:gridCol w:w="331"/>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percentage data)</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Shimmick Projects</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205,773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Non-Core Projects</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Total</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250,512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Shimmick Projects</w:t>
      </w:r>
      <w:r>
        <w:rPr>
          <w:rFonts w:ascii="Times New Roman" w:hAnsi="Times New Roman"/>
          <w:color w:val="231F2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231F20"/>
          <w:sz w:val="20"/>
        </w:rPr>
      </w:pPr>
      <w:r>
        <w:rPr>
          <w:rFonts w:ascii="Times New Roman" w:hAnsi="Times New Roman"/>
          <w:color w:val="231F20"/>
          <w:sz w:val="20"/>
        </w:rPr>
        <w:t xml:space="preserve">Revenue recognized on Shimmick Projects was $184 million and $206 million for the six months ended July 3, 2026 and July 4, 2025, respectively. The $22 million decrease in revenue was primarily the result of a $44 million decrease in revenue as the result of the completion of a lower margin operation and maintenance project during the third quarter of fiscal year 2025 and $46 million of decreases in revenue from lower activity on existing projects and projects winding down. These decreases were partially offset by $68 million in revenue from new higher margin projects ramping up. </w:t>
      </w:r>
    </w:p>
    <w:p>
      <w:pPr>
        <w:pStyle w:val="TextBody"/>
        <w:bidi w:val="0"/>
        <w:jc w:val="left"/>
        <w:rPr>
          <w:rFonts w:ascii="Times New Roman" w:hAnsi="Times New Roman"/>
          <w:color w:val="231F20"/>
          <w:sz w:val="20"/>
        </w:rPr>
      </w:pPr>
      <w:r>
        <w:rPr>
          <w:rFonts w:ascii="Times New Roman" w:hAnsi="Times New Roman"/>
          <w:color w:val="231F20"/>
          <w:sz w:val="20"/>
        </w:rPr>
        <w:t>Gross margin recognized on Shimmick Projects was $21 million and $20 million for the six months ended July 3, 2026 and July 4, 2025, respectively. The $1 million increase in gross margin was primarily the result of $14 million increases in gross margin from new higher margin projects ramping up, partially offset by $13 million of decreases in gross margin from lower activity on existing projects and projects winding down.</w:t>
      </w:r>
    </w:p>
    <w:p>
      <w:pPr>
        <w:pStyle w:val="TextBody"/>
        <w:bidi w:val="0"/>
        <w:jc w:val="left"/>
        <w:rPr>
          <w:rFonts w:ascii="Times New Roman" w:hAnsi="Times New Roman"/>
          <w:sz w:val="20"/>
        </w:rPr>
      </w:pPr>
      <w:r>
        <w:rPr>
          <w:rFonts w:ascii="Times New Roman" w:hAnsi="Times New Roman"/>
          <w:i/>
          <w:color w:val="231F20"/>
          <w:sz w:val="20"/>
        </w:rPr>
        <w:t>Non-Core Projects</w:t>
      </w:r>
      <w:r>
        <w:rPr>
          <w:rFonts w:ascii="Times New Roman" w:hAnsi="Times New Roman"/>
          <w:color w:val="231F20"/>
          <w:sz w:val="20"/>
        </w:rPr>
        <w:t xml:space="preserve"> </w:t>
      </w:r>
    </w:p>
    <w:p>
      <w:pPr>
        <w:pStyle w:val="TextBody"/>
        <w:bidi w:val="0"/>
        <w:jc w:val="left"/>
        <w:rPr>
          <w:rFonts w:ascii="Times New Roman" w:hAnsi="Times New Roman"/>
          <w:color w:val="231F20"/>
          <w:sz w:val="20"/>
        </w:rPr>
      </w:pPr>
      <w:r>
        <w:rPr>
          <w:rFonts w:ascii="Times New Roman" w:hAnsi="Times New Roman"/>
          <w:color w:val="231F20"/>
          <w:sz w:val="20"/>
        </w:rPr>
        <w:t>Non-Core Projects revenue was $11 million and $45 million for the six months ended July 3, 2026 and July 4, 2025, respectively. The $34 million decrease was primarily the result of the notice of termination associated with the Chickamauga Lock Replacement Project during May 2026 as well as a $16 million decrease from the Company working to wind down these Non-Core Projects.</w:t>
      </w:r>
    </w:p>
    <w:p>
      <w:pPr>
        <w:pStyle w:val="TextBody"/>
        <w:bidi w:val="0"/>
        <w:jc w:val="left"/>
        <w:rPr>
          <w:rFonts w:ascii="Times New Roman" w:hAnsi="Times New Roman"/>
          <w:sz w:val="20"/>
        </w:rPr>
      </w:pPr>
      <w:r>
        <w:rPr>
          <w:rFonts w:ascii="Times New Roman" w:hAnsi="Times New Roman"/>
          <w:color w:val="231F20"/>
          <w:sz w:val="20"/>
        </w:rPr>
        <w:t xml:space="preserve">Gross margin was $3 million for the six months ended July 3, 2026 as compared to $(7) million for the six months ended July 4, 2025. The $10 million increase was primarily the result of </w:t>
      </w:r>
      <w:r>
        <w:rPr>
          <w:rFonts w:ascii="Times New Roman" w:hAnsi="Times New Roman"/>
          <w:color w:val="000000"/>
          <w:sz w:val="20"/>
        </w:rPr>
        <w:t>a positive outcome of a project close-out and settlement as well as certain time and design-related schedule extensions identified during the six months ended July 4, 2025 which did not reoccur during the six months ended July 3, 2026.</w:t>
      </w:r>
    </w:p>
    <w:p>
      <w:pPr>
        <w:pStyle w:val="TextBody"/>
        <w:bidi w:val="0"/>
        <w:jc w:val="left"/>
        <w:rPr>
          <w:rFonts w:ascii="Times New Roman" w:hAnsi="Times New Roman"/>
          <w:color w:val="231F20"/>
          <w:sz w:val="20"/>
        </w:rPr>
      </w:pPr>
      <w:r>
        <w:rPr>
          <w:rFonts w:ascii="Times New Roman" w:hAnsi="Times New Roman"/>
          <w:color w:val="231F20"/>
          <w:sz w:val="20"/>
        </w:rPr>
        <w:t xml:space="preserve">A subset of Non-Core Projects ("Non-Core Loss Projects") has experienced significant cost overruns due to the COVID pandemic, design issues, legal costs and other factors. In the Non-Core Loss Projects, we have recognized the estimated costs to complete and the loss expected from these projects. If the estimates of costs to complete fixed-price contracts indicate a further loss, the entire amount of the additional loss expected over the life of the project is recognized as a period cost in the cost of revenue. As these Non-Core Loss Projects continue to wind down to completion, no further gross margin will be recognized absent external factors and in some cases, there may be additional costs associated with these projects that could lower gross margin. Revenue recognized on these Non-Core Loss Projects was $5 million and $31 million for the six months ended July 3, 2026 and July 4, 2025, respectively. Gross margin recognized on these Non-Core Loss Projects was $0 million and $(4) million for the six months ended July 3, 2026 and July 4, 2025, respectively. The change in gross margin was primarily the result of cost increases for time and design-related schedule extensions identified during the six months ended July 4, 2025 which did not reoccur during the six months ended July 3, 2026. </w:t>
      </w:r>
    </w:p>
    <w:p>
      <w:pPr>
        <w:pStyle w:val="TextBody"/>
        <w:bidi w:val="0"/>
        <w:jc w:val="left"/>
        <w:rPr>
          <w:rFonts w:ascii="Times New Roman" w:hAnsi="Times New Roman"/>
          <w:i/>
          <w:color w:val="231F20"/>
          <w:sz w:val="20"/>
        </w:rPr>
      </w:pPr>
      <w:r>
        <w:rPr>
          <w:rFonts w:ascii="Times New Roman" w:hAnsi="Times New Roman"/>
          <w:i/>
          <w:color w:val="231F20"/>
          <w:sz w:val="20"/>
        </w:rPr>
        <w:t>Selling, general and administrative expenses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Selling, general and administrative expenses increased by $1 million during the six months ended July 3, 2026 primarily as a result of increases in legal costs.</w:t>
      </w:r>
    </w:p>
    <w:p>
      <w:pPr>
        <w:pStyle w:val="TextBody"/>
        <w:bidi w:val="0"/>
        <w:jc w:val="left"/>
        <w:rPr>
          <w:rFonts w:ascii="Times New Roman" w:hAnsi="Times New Roman"/>
          <w:i/>
          <w:color w:val="231F20"/>
          <w:sz w:val="20"/>
        </w:rPr>
      </w:pPr>
      <w:r>
        <w:rPr>
          <w:rFonts w:ascii="Times New Roman" w:hAnsi="Times New Roman"/>
          <w:i/>
          <w:color w:val="231F20"/>
          <w:sz w:val="20"/>
        </w:rPr>
        <w:t>Equity in earnings of unconsolidated joint ventures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Equity in earnings of unconsolidated joint ventures increased by $2 million during the six months ended July 3, 2026 primarily as the result of an increase in activity on a dam project in the current year as well cost increases incurred on a transit project during the six months ended July 4, 2025 which did not reoccur during the six months ended July 3, 2026.</w:t>
      </w:r>
    </w:p>
    <w:p>
      <w:pPr>
        <w:pStyle w:val="TextBody"/>
        <w:bidi w:val="0"/>
        <w:jc w:val="left"/>
        <w:rPr>
          <w:rFonts w:ascii="Times New Roman" w:hAnsi="Times New Roman"/>
          <w:i/>
          <w:color w:val="231F20"/>
          <w:sz w:val="20"/>
        </w:rPr>
      </w:pPr>
      <w:r>
        <w:rPr>
          <w:rFonts w:ascii="Times New Roman" w:hAnsi="Times New Roman"/>
          <w:i/>
          <w:color w:val="231F20"/>
          <w:sz w:val="20"/>
        </w:rPr>
        <w:t>(Loss) gain on sale of assets, net</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(Loss) gain on sale of assets, net remained approximately flat period over period.</w:t>
      </w:r>
    </w:p>
    <w:p>
      <w:pPr>
        <w:pStyle w:val="TextBody"/>
        <w:bidi w:val="0"/>
        <w:jc w:val="left"/>
        <w:rPr>
          <w:rFonts w:ascii="Times New Roman" w:hAnsi="Times New Roman"/>
          <w:i/>
          <w:color w:val="231F20"/>
          <w:sz w:val="20"/>
        </w:rPr>
      </w:pPr>
      <w:r>
        <w:rPr>
          <w:rFonts w:ascii="Times New Roman" w:hAnsi="Times New Roman"/>
          <w:i/>
          <w:color w:val="231F20"/>
          <w:sz w:val="20"/>
        </w:rPr>
        <w:t>Interest expense</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Interest expense increased by $2 million during the six months ended July 3, 2026 primarily due to increased average long-term debt balances outstanding during the six months ended July 3, 2026 as compared to the six months ended July 4, 2025.</w:t>
      </w:r>
    </w:p>
    <w:p>
      <w:pPr>
        <w:pStyle w:val="TextBody"/>
        <w:bidi w:val="0"/>
        <w:jc w:val="left"/>
        <w:rPr>
          <w:rFonts w:ascii="Times New Roman" w:hAnsi="Times New Roman"/>
          <w:i/>
          <w:color w:val="231F20"/>
          <w:sz w:val="20"/>
        </w:rPr>
      </w:pPr>
      <w:r>
        <w:rPr>
          <w:rFonts w:ascii="Times New Roman" w:hAnsi="Times New Roman"/>
          <w:i/>
          <w:color w:val="231F20"/>
          <w:sz w:val="20"/>
        </w:rPr>
        <w:t>Other expense (income), net</w:t>
      </w:r>
    </w:p>
    <w:p>
      <w:pPr>
        <w:pStyle w:val="TextBody"/>
        <w:bidi w:val="0"/>
        <w:jc w:val="left"/>
        <w:rPr>
          <w:rFonts w:ascii="Times New Roman" w:hAnsi="Times New Roman"/>
          <w:color w:val="231F20"/>
          <w:sz w:val="20"/>
        </w:rPr>
      </w:pPr>
      <w:r>
        <w:rPr>
          <w:rFonts w:ascii="Times New Roman" w:hAnsi="Times New Roman"/>
          <w:color w:val="231F20"/>
          <w:sz w:val="20"/>
        </w:rPr>
        <w:t>Other expense (income), net remained approximately flat period over period.</w:t>
      </w:r>
    </w:p>
    <w:p>
      <w:pPr>
        <w:pStyle w:val="TextBody"/>
        <w:bidi w:val="0"/>
        <w:jc w:val="left"/>
        <w:rPr>
          <w:rFonts w:ascii="Times New Roman" w:hAnsi="Times New Roman"/>
          <w:sz w:val="20"/>
        </w:rPr>
      </w:pPr>
      <w:r>
        <w:rPr>
          <w:rFonts w:ascii="Times New Roman" w:hAnsi="Times New Roman"/>
          <w:i/>
          <w:color w:val="231F20"/>
          <w:sz w:val="20"/>
        </w:rPr>
        <w:t>Income tax expense</w:t>
      </w:r>
      <w:r>
        <w:rPr>
          <w:rFonts w:ascii="Times New Roman" w:hAnsi="Times New Roman"/>
          <w:color w:val="231F20"/>
          <w:sz w:val="20"/>
        </w:rPr>
        <w:t xml:space="preserve"> </w:t>
      </w:r>
    </w:p>
    <w:p>
      <w:pPr>
        <w:pStyle w:val="TextBody"/>
        <w:bidi w:val="0"/>
        <w:jc w:val="left"/>
        <w:rPr>
          <w:rFonts w:ascii="Times New Roman" w:hAnsi="Times New Roman"/>
          <w:color w:val="231F20"/>
          <w:sz w:val="20"/>
        </w:rPr>
      </w:pPr>
      <w:r>
        <w:rPr>
          <w:rFonts w:ascii="Times New Roman" w:hAnsi="Times New Roman"/>
          <w:color w:val="231F20"/>
          <w:sz w:val="20"/>
        </w:rPr>
        <w:t>Due to an expected tax loss for the fiscal year ending 2026 and a realized tax loss for the fiscal year ended 2025, no income tax expense was recorded for either the six months ended July 3, 2026 or the six months ended July 4,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231F20"/>
          <w:sz w:val="20"/>
        </w:rPr>
      </w:pPr>
      <w:r>
        <w:rPr>
          <w:rFonts w:ascii="Times New Roman" w:hAnsi="Times New Roman"/>
          <w:i/>
          <w:color w:val="231F20"/>
          <w:sz w:val="20"/>
        </w:rPr>
        <w:t>Net loss</w:t>
      </w:r>
    </w:p>
    <w:p>
      <w:pPr>
        <w:pStyle w:val="TextBody"/>
        <w:bidi w:val="0"/>
        <w:jc w:val="left"/>
        <w:rPr>
          <w:rFonts w:ascii="Times New Roman" w:hAnsi="Times New Roman"/>
          <w:color w:val="231F20"/>
          <w:sz w:val="20"/>
        </w:rPr>
      </w:pPr>
      <w:r>
        <w:rPr>
          <w:rFonts w:ascii="Times New Roman" w:hAnsi="Times New Roman"/>
          <w:color w:val="231F20"/>
          <w:sz w:val="20"/>
        </w:rPr>
        <w:t>Net loss decreased by $9 million to a net loss of $9 million for the six months ended July 3, 2026, primarily due to increase in gross margin of $11 million and increase in equity in earnings of unconsolidated joint ventures of $2 million, partially offset by an increase in interest expense of $2 million and an increase in selling, general and administrative expenses of $1 million, all as described above.</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Non-GAAP Financial Measures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report our financial results in accordance with GAAP. However, management believes that certain non-GAAP financial measures provide investors with additional useful information in evaluating our performance. Therefore, to supplement our condensed consolidated financial statements, we provide investors with certain non-GAAP financial measures, including Adjusted net loss and Adjusted EBITDA.</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Adjusted Net Loss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Adjusted net loss represents Net loss attributable to Shimmick Corporation adjusted to eliminate stock-based compensation, legal fees and other costs for </w:t>
      </w:r>
      <w:r>
        <w:rPr>
          <w:rFonts w:ascii="Times New Roman" w:hAnsi="Times New Roman"/>
          <w:color w:val="231F20"/>
          <w:sz w:val="20"/>
        </w:rPr>
        <w:t>Non-Core</w:t>
      </w:r>
      <w:r>
        <w:rPr>
          <w:rFonts w:ascii="Times New Roman" w:hAnsi="Times New Roman"/>
          <w:color w:val="000000"/>
          <w:sz w:val="20"/>
        </w:rPr>
        <w:t xml:space="preserve"> Projects and transaction-related costs and changes in fair value of contingent consideration remaining after the impact of transactions with our prior owner. We have also made an adjustment for transformation costs we have incurred including advisory costs in connection with settling outstanding claims, exiting the </w:t>
      </w:r>
      <w:r>
        <w:rPr>
          <w:rFonts w:ascii="Times New Roman" w:hAnsi="Times New Roman"/>
          <w:color w:val="231F20"/>
          <w:sz w:val="20"/>
        </w:rPr>
        <w:t>Non-Core</w:t>
      </w:r>
      <w:r>
        <w:rPr>
          <w:rFonts w:ascii="Times New Roman" w:hAnsi="Times New Roman"/>
          <w:color w:val="000000"/>
          <w:sz w:val="20"/>
        </w:rPr>
        <w:t xml:space="preserve"> Projects and transforming the Company to shift our strategy to meet the nation’s growing need for water and other critical infrastructure and grow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included Adjusted net loss in this Form 10-Q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net loss can provide a useful measure for period-to-period comparisons of our core business. Accordingly, we believe that Adjusted net loss provides useful information to investors and others in understanding and evaluating our results of operations.</w:t>
      </w:r>
    </w:p>
    <w:p>
      <w:pPr>
        <w:pStyle w:val="TextBody"/>
        <w:bidi w:val="0"/>
        <w:spacing w:before="120" w:after="283"/>
        <w:jc w:val="both"/>
        <w:rPr/>
      </w:pPr>
      <w:r>
        <w:rPr/>
        <w:t> </w:t>
      </w:r>
    </w:p>
    <w:p>
      <w:pPr>
        <w:pStyle w:val="TextBody"/>
        <w:bidi w:val="0"/>
        <w:jc w:val="left"/>
        <w:rPr>
          <w:rFonts w:ascii="Times New Roman" w:hAnsi="Times New Roman"/>
          <w:sz w:val="20"/>
        </w:rPr>
      </w:pPr>
      <w:r>
        <w:rPr>
          <w:rFonts w:ascii="Times New Roman" w:hAnsi="Times New Roman"/>
          <w:color w:val="231F20"/>
          <w:sz w:val="20"/>
        </w:rPr>
        <w:t xml:space="preserve">Our use of Adjusted </w:t>
      </w:r>
      <w:r>
        <w:rPr>
          <w:rFonts w:ascii="Times New Roman" w:hAnsi="Times New Roman"/>
          <w:color w:val="000000"/>
          <w:sz w:val="20"/>
        </w:rPr>
        <w:t>net loss</w:t>
      </w:r>
      <w:r>
        <w:rPr>
          <w:rFonts w:ascii="Times New Roman" w:hAnsi="Times New Roman"/>
          <w:color w:val="231F20"/>
          <w:sz w:val="20"/>
        </w:rPr>
        <w:t xml:space="preserve"> as an analytical tool has limitations, and you should not consider it in isolation or as a substitute for analysis of our financial results as reported under GAAP. Some of these limitations are: </w:t>
      </w:r>
    </w:p>
    <w:p>
      <w:pPr>
        <w:pStyle w:val="TextBody"/>
        <w:bidi w:val="0"/>
        <w:jc w:val="left"/>
        <w:rPr/>
      </w:pPr>
      <w:r>
        <w:rPr/>
        <w:t> </w:t>
      </w:r>
    </w:p>
    <w:p>
      <w:pPr>
        <w:pStyle w:val="TextBody"/>
        <w:bidi w:val="0"/>
        <w:spacing w:before="0" w:after="0"/>
        <w:jc w:val="left"/>
        <w:rPr>
          <w:color w:val="231F20"/>
        </w:rPr>
      </w:pPr>
      <w:r>
        <w:rPr>
          <w:color w:val="231F20"/>
        </w:rPr>
        <w:t>•</w:t>
      </w:r>
    </w:p>
    <w:p>
      <w:pPr>
        <w:pStyle w:val="TextBody"/>
        <w:bidi w:val="0"/>
        <w:spacing w:before="0" w:after="0"/>
        <w:jc w:val="left"/>
        <w:rPr/>
      </w:pPr>
      <w:r>
        <w:rPr>
          <w:rFonts w:ascii="Times New Roman" w:hAnsi="Times New Roman"/>
          <w:color w:val="231F20"/>
          <w:sz w:val="20"/>
        </w:rPr>
        <w:t xml:space="preserve">Adjusted </w:t>
      </w:r>
      <w:r>
        <w:rPr>
          <w:rFonts w:ascii="Times New Roman" w:hAnsi="Times New Roman"/>
          <w:color w:val="000000"/>
          <w:sz w:val="20"/>
        </w:rPr>
        <w:t>net loss</w:t>
      </w:r>
      <w:r>
        <w:rPr>
          <w:color w:val="231F20"/>
        </w:rPr>
        <w:t xml:space="preserve"> </w:t>
      </w:r>
      <w:r>
        <w:rPr>
          <w:rFonts w:ascii="Times New Roman" w:hAnsi="Times New Roman"/>
          <w:color w:val="231F20"/>
          <w:sz w:val="20"/>
        </w:rPr>
        <w:t xml:space="preserve">does not reflect changes in, or cash requirements for, our working capital needs, </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 xml:space="preserve">Adjusted </w:t>
      </w:r>
      <w:r>
        <w:rPr>
          <w:rFonts w:ascii="Times New Roman" w:hAnsi="Times New Roman"/>
          <w:color w:val="000000"/>
          <w:sz w:val="20"/>
        </w:rPr>
        <w:t>net loss</w:t>
      </w:r>
      <w:r>
        <w:rPr>
          <w:color w:val="231F20"/>
        </w:rPr>
        <w:t xml:space="preserve"> </w:t>
      </w:r>
      <w:r>
        <w:rPr>
          <w:rFonts w:ascii="Times New Roman" w:hAnsi="Times New Roman"/>
          <w:color w:val="231F20"/>
          <w:sz w:val="20"/>
        </w:rPr>
        <w:t xml:space="preserve">does not reflect the potentially dilutive impact of stock-based compensation, and </w:t>
      </w:r>
    </w:p>
    <w:p>
      <w:pPr>
        <w:pStyle w:val="TextBody"/>
        <w:bidi w:val="0"/>
        <w:spacing w:before="120" w:after="283"/>
        <w:jc w:val="left"/>
        <w:rPr>
          <w:color w:val="231F20"/>
        </w:rPr>
      </w:pPr>
      <w:r>
        <w:rPr>
          <w:color w:val="231F20"/>
        </w:rPr>
        <w:t>•</w:t>
      </w:r>
    </w:p>
    <w:p>
      <w:pPr>
        <w:pStyle w:val="TextBody"/>
        <w:bidi w:val="0"/>
        <w:spacing w:before="120" w:after="283"/>
        <w:jc w:val="left"/>
        <w:rPr/>
      </w:pPr>
      <w:r>
        <w:rPr>
          <w:rFonts w:ascii="Times New Roman" w:hAnsi="Times New Roman"/>
          <w:color w:val="231F20"/>
          <w:sz w:val="20"/>
        </w:rPr>
        <w:t xml:space="preserve">other companies, including companies in our industry, might calculate Adjusted </w:t>
      </w:r>
      <w:r>
        <w:rPr>
          <w:rFonts w:ascii="Times New Roman" w:hAnsi="Times New Roman"/>
          <w:color w:val="000000"/>
          <w:sz w:val="20"/>
        </w:rPr>
        <w:t>net loss</w:t>
      </w:r>
      <w:r>
        <w:rPr>
          <w:color w:val="231F20"/>
        </w:rPr>
        <w:t xml:space="preserve"> </w:t>
      </w:r>
      <w:r>
        <w:rPr>
          <w:rFonts w:ascii="Times New Roman" w:hAnsi="Times New Roman"/>
          <w:color w:val="231F20"/>
          <w:sz w:val="20"/>
        </w:rPr>
        <w:t>or similarly titled measures differently, which reduces their usefulness as comparative measures.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 xml:space="preserve">Because of these and other limitations, you should consider Adjusted </w:t>
      </w:r>
      <w:r>
        <w:rPr>
          <w:rFonts w:ascii="Times New Roman" w:hAnsi="Times New Roman"/>
          <w:color w:val="000000"/>
          <w:sz w:val="20"/>
        </w:rPr>
        <w:t>net loss</w:t>
      </w:r>
      <w:r>
        <w:rPr>
          <w:rFonts w:ascii="Times New Roman" w:hAnsi="Times New Roman"/>
          <w:color w:val="231F20"/>
          <w:sz w:val="20"/>
        </w:rPr>
        <w:t xml:space="preserve"> alongside Net loss attributable to Shimmick Corporation, which is the most directly comparable GAAP measure.</w:t>
      </w:r>
    </w:p>
    <w:p>
      <w:pPr>
        <w:pStyle w:val="TextBody"/>
        <w:bidi w:val="0"/>
        <w:spacing w:before="360" w:after="240"/>
        <w:jc w:val="left"/>
        <w:rPr>
          <w:rFonts w:ascii="Times New Roman" w:hAnsi="Times New Roman"/>
          <w:i/>
          <w:color w:val="231F20"/>
          <w:sz w:val="20"/>
        </w:rPr>
      </w:pPr>
      <w:r>
        <w:rPr>
          <w:rFonts w:ascii="Times New Roman" w:hAnsi="Times New Roman"/>
          <w:i/>
          <w:color w:val="231F20"/>
          <w:sz w:val="20"/>
        </w:rPr>
        <w:t>Adjusted EBITDA</w:t>
      </w:r>
    </w:p>
    <w:p>
      <w:pPr>
        <w:pStyle w:val="TextBody"/>
        <w:bidi w:val="0"/>
        <w:spacing w:before="0" w:after="240"/>
        <w:jc w:val="left"/>
        <w:rPr>
          <w:rFonts w:ascii="Times New Roman" w:hAnsi="Times New Roman"/>
          <w:sz w:val="20"/>
        </w:rPr>
      </w:pPr>
      <w:r>
        <w:rPr>
          <w:rFonts w:ascii="Times New Roman" w:hAnsi="Times New Roman"/>
          <w:color w:val="231F20"/>
          <w:sz w:val="20"/>
        </w:rPr>
        <w:t>Adjusted EBITDA represents our Net loss attributable to Shimmick Corporation before interest expense, income tax expense and depreciation and amortization, adjusted to eliminate</w:t>
      </w:r>
      <w:r>
        <w:rPr>
          <w:rFonts w:ascii="Times New Roman" w:hAnsi="Times New Roman"/>
          <w:color w:val="000000"/>
          <w:sz w:val="20"/>
        </w:rPr>
        <w:t xml:space="preserve"> stock-based compensation, legal fees and other costs for </w:t>
      </w:r>
      <w:r>
        <w:rPr>
          <w:rFonts w:ascii="Times New Roman" w:hAnsi="Times New Roman"/>
          <w:color w:val="231F20"/>
          <w:sz w:val="20"/>
        </w:rPr>
        <w:t>Non-Core</w:t>
      </w:r>
      <w:r>
        <w:rPr>
          <w:rFonts w:ascii="Times New Roman" w:hAnsi="Times New Roman"/>
          <w:color w:val="000000"/>
          <w:sz w:val="20"/>
        </w:rPr>
        <w:t xml:space="preserve"> Projects and transaction-related costs and changes in fair value of contingent consideration remaining after the impact of transactions with our prior owner. We have also made an adjustment for transformation costs we have incurred including advisory costs in connection with settling outstanding claims, exiting the </w:t>
      </w:r>
      <w:r>
        <w:rPr>
          <w:rFonts w:ascii="Times New Roman" w:hAnsi="Times New Roman"/>
          <w:color w:val="231F20"/>
          <w:sz w:val="20"/>
        </w:rPr>
        <w:t>Non-Core</w:t>
      </w:r>
      <w:r>
        <w:rPr>
          <w:rFonts w:ascii="Times New Roman" w:hAnsi="Times New Roman"/>
          <w:color w:val="000000"/>
          <w:sz w:val="20"/>
        </w:rPr>
        <w:t xml:space="preserve"> Projects and transforming the Company to shift our strategy to meet the nation’s growing need for water and other critical infrastructure and grow our business.</w:t>
      </w:r>
    </w:p>
    <w:p>
      <w:pPr>
        <w:pStyle w:val="TextBody"/>
        <w:bidi w:val="0"/>
        <w:spacing w:before="0" w:after="240"/>
        <w:jc w:val="left"/>
        <w:rPr>
          <w:rFonts w:ascii="Times New Roman" w:hAnsi="Times New Roman"/>
          <w:sz w:val="20"/>
        </w:rPr>
      </w:pPr>
      <w:r>
        <w:rPr>
          <w:rFonts w:ascii="Times New Roman" w:hAnsi="Times New Roman"/>
          <w:color w:val="231F20"/>
          <w:sz w:val="20"/>
        </w:rPr>
        <w:t xml:space="preserve">We have included Adjusted EBITDA in this </w:t>
      </w:r>
      <w:r>
        <w:rPr>
          <w:rFonts w:ascii="Times New Roman" w:hAnsi="Times New Roman"/>
          <w:color w:val="000000"/>
          <w:sz w:val="20"/>
        </w:rPr>
        <w:t xml:space="preserve">Form 10-Q </w:t>
      </w:r>
      <w:r>
        <w:rPr>
          <w:rFonts w:ascii="Times New Roman" w:hAnsi="Times New Roman"/>
          <w:color w:val="231F20"/>
          <w:sz w:val="20"/>
        </w:rPr>
        <w:t>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EBITDA can provide a useful measure for period-to-period comparisons of our core business. Accordingly, we believe that Adjusted EBITDA provides useful information to investors and others in understanding and evaluating our results of operations.</w:t>
      </w:r>
    </w:p>
    <w:p>
      <w:pPr>
        <w:pStyle w:val="TextBody"/>
        <w:bidi w:val="0"/>
        <w:spacing w:before="0" w:after="240"/>
        <w:jc w:val="left"/>
        <w:rPr>
          <w:rFonts w:ascii="Times New Roman" w:hAnsi="Times New Roman"/>
          <w:color w:val="231F20"/>
          <w:sz w:val="20"/>
        </w:rPr>
      </w:pPr>
      <w:r>
        <w:rPr>
          <w:rFonts w:ascii="Times New Roman" w:hAnsi="Times New Roman"/>
          <w:color w:val="231F20"/>
          <w:sz w:val="20"/>
        </w:rPr>
        <w:t>Our use of Adjusted EBITDA as an analytical tool has limitations, and you should not consider it in isolation or as a substitute for analysis of our financial results as reported under GAAP. Some of these limitations are:</w:t>
      </w:r>
    </w:p>
    <w:p>
      <w:pPr>
        <w:pStyle w:val="TextBody"/>
        <w:bidi w:val="0"/>
        <w:spacing w:before="0" w:after="0"/>
        <w:jc w:val="left"/>
        <w:rPr>
          <w:color w:val="231F20"/>
        </w:rPr>
      </w:pPr>
      <w:r>
        <w:rPr>
          <w:color w:val="231F20"/>
        </w:rPr>
        <w:t>•</w:t>
      </w:r>
    </w:p>
    <w:p>
      <w:pPr>
        <w:pStyle w:val="TextBody"/>
        <w:bidi w:val="0"/>
        <w:jc w:val="left"/>
        <w:rPr>
          <w:rFonts w:ascii="Times New Roman" w:hAnsi="Times New Roman"/>
          <w:color w:val="231F20"/>
          <w:sz w:val="20"/>
        </w:rPr>
      </w:pPr>
      <w:r>
        <w:rPr>
          <w:rFonts w:ascii="Times New Roman" w:hAnsi="Times New Roman"/>
          <w:color w:val="231F20"/>
          <w:sz w:val="20"/>
        </w:rPr>
        <w:t>although depreciation and amortization are non-cash charges, the assets being depreciated and amortized might have to be replaced in the future, and Adjusted EBITDA does not reflect cash capital expenditure requirements for such replacements or for new capital expenditure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Adjusted EBITDA does not reflect changes in, or cash requirements for, our working capital needs,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Adjusted EBITDA does not reflect the potentially dilutive impact of stock-based compensation,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Adjusted EBITDA does not reflect interest or tax payments that would reduce the cash available to us,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other companies, including companies in our industry, might calculate Adjusted EBITDA or similarly titled measures differently, which reduces their usefulness as comparative measures.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Because of these and other limitations, you should consider Adjusted EBITDA alongside Net loss attributable to Shimmick Corporation, which is the most directly comparable GAAP measure.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See reconciliations below: </w:t>
      </w:r>
    </w:p>
    <w:p>
      <w:pPr>
        <w:pStyle w:val="TextBody"/>
        <w:bidi w:val="0"/>
        <w:spacing w:before="120" w:after="283"/>
        <w:jc w:val="left"/>
        <w:rPr/>
      </w:pPr>
      <w:r>
        <w:rPr/>
        <w:t> </w:t>
      </w:r>
    </w:p>
    <w:tbl>
      <w:tblPr>
        <w:tblW w:w="8232" w:type="dxa"/>
        <w:jc w:val="left"/>
        <w:tblInd w:w="0" w:type="dxa"/>
        <w:tblLayout w:type="fixed"/>
        <w:tblCellMar>
          <w:top w:w="28" w:type="dxa"/>
          <w:left w:w="28" w:type="dxa"/>
          <w:bottom w:w="28" w:type="dxa"/>
          <w:right w:w="28" w:type="dxa"/>
        </w:tblCellMar>
      </w:tblPr>
      <w:tblGrid>
        <w:gridCol w:w="3781"/>
        <w:gridCol w:w="146"/>
        <w:gridCol w:w="196"/>
        <w:gridCol w:w="571"/>
        <w:gridCol w:w="166"/>
        <w:gridCol w:w="146"/>
        <w:gridCol w:w="196"/>
        <w:gridCol w:w="571"/>
        <w:gridCol w:w="166"/>
        <w:gridCol w:w="146"/>
        <w:gridCol w:w="196"/>
        <w:gridCol w:w="571"/>
        <w:gridCol w:w="166"/>
        <w:gridCol w:w="146"/>
        <w:gridCol w:w="196"/>
        <w:gridCol w:w="661"/>
        <w:gridCol w:w="21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Shimmick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Transformation costs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Legal fees and other costs for Non-Core Projects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tbl>
      <w:tblPr>
        <w:tblW w:w="8232" w:type="dxa"/>
        <w:jc w:val="left"/>
        <w:tblInd w:w="0" w:type="dxa"/>
        <w:tblLayout w:type="fixed"/>
        <w:tblCellMar>
          <w:top w:w="28" w:type="dxa"/>
          <w:left w:w="28" w:type="dxa"/>
          <w:bottom w:w="28" w:type="dxa"/>
          <w:right w:w="28" w:type="dxa"/>
        </w:tblCellMar>
      </w:tblPr>
      <w:tblGrid>
        <w:gridCol w:w="3781"/>
        <w:gridCol w:w="146"/>
        <w:gridCol w:w="196"/>
        <w:gridCol w:w="571"/>
        <w:gridCol w:w="166"/>
        <w:gridCol w:w="146"/>
        <w:gridCol w:w="196"/>
        <w:gridCol w:w="571"/>
        <w:gridCol w:w="166"/>
        <w:gridCol w:w="146"/>
        <w:gridCol w:w="196"/>
        <w:gridCol w:w="571"/>
        <w:gridCol w:w="166"/>
        <w:gridCol w:w="146"/>
        <w:gridCol w:w="196"/>
        <w:gridCol w:w="661"/>
        <w:gridCol w:w="21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Shimmick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Transformation costs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Legal fees and other costs for Non-Core Projects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(1) Consists of transformation-related costs we have incurred including advisory costs in connection with settling outstanding claims in connection with exiting certain </w:t>
      </w:r>
      <w:r>
        <w:rPr>
          <w:rFonts w:ascii="Times New Roman" w:hAnsi="Times New Roman"/>
          <w:color w:val="231F20"/>
          <w:sz w:val="20"/>
        </w:rPr>
        <w:t>Non-Core</w:t>
      </w:r>
      <w:r>
        <w:rPr>
          <w:rFonts w:ascii="Times New Roman" w:hAnsi="Times New Roman"/>
          <w:color w:val="000000"/>
          <w:sz w:val="20"/>
        </w:rPr>
        <w:t xml:space="preserve"> Projects as part of the Company’s growth strategy to address and capitalize on the nation’s growing need for water and other critical infrastructure.</w:t>
      </w:r>
    </w:p>
    <w:p>
      <w:pPr>
        <w:pStyle w:val="TextBody"/>
        <w:bidi w:val="0"/>
        <w:jc w:val="left"/>
        <w:rPr>
          <w:rFonts w:ascii="Times New Roman" w:hAnsi="Times New Roman"/>
          <w:sz w:val="20"/>
        </w:rPr>
      </w:pPr>
      <w:r>
        <w:rPr>
          <w:rFonts w:ascii="Times New Roman" w:hAnsi="Times New Roman"/>
          <w:color w:val="000000"/>
          <w:sz w:val="20"/>
        </w:rPr>
        <w:t xml:space="preserve">(2) Consists of legal fees and other costs incurred in connection with claims relating to </w:t>
      </w:r>
      <w:r>
        <w:rPr>
          <w:rFonts w:ascii="Times New Roman" w:hAnsi="Times New Roman"/>
          <w:color w:val="231F20"/>
          <w:sz w:val="20"/>
        </w:rPr>
        <w:t>Non-Core</w:t>
      </w:r>
      <w:r>
        <w:rPr>
          <w:rFonts w:ascii="Times New Roman" w:hAnsi="Times New Roman"/>
          <w:color w:val="000000"/>
          <w:sz w:val="20"/>
        </w:rPr>
        <w:t xml:space="preserve"> Projects.</w:t>
      </w:r>
    </w:p>
    <w:p>
      <w:pPr>
        <w:pStyle w:val="TextBody"/>
        <w:bidi w:val="0"/>
        <w:jc w:val="left"/>
        <w:rPr>
          <w:rFonts w:ascii="Times New Roman" w:hAnsi="Times New Roman"/>
          <w:color w:val="000000"/>
          <w:sz w:val="20"/>
        </w:rPr>
      </w:pPr>
      <w:r>
        <w:rPr>
          <w:rFonts w:ascii="Times New Roman" w:hAnsi="Times New Roman"/>
          <w:color w:val="000000"/>
          <w:sz w:val="20"/>
        </w:rPr>
        <w:t>(3) Consists of transaction-related costs and changes in fair value of contingent consideration remaining after the impact of transactions with our prior owner.</w:t>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240"/>
        <w:jc w:val="left"/>
        <w:rPr>
          <w:rFonts w:ascii="Times New Roman" w:hAnsi="Times New Roman"/>
          <w:i/>
          <w:color w:val="231F20"/>
          <w:sz w:val="20"/>
        </w:rPr>
      </w:pPr>
      <w:r>
        <w:rPr>
          <w:rFonts w:ascii="Times New Roman" w:hAnsi="Times New Roman"/>
          <w:i/>
          <w:color w:val="231F20"/>
          <w:sz w:val="20"/>
        </w:rPr>
        <w:t>Capital Requirements and Sources of Liquidity</w:t>
      </w:r>
    </w:p>
    <w:p>
      <w:pPr>
        <w:pStyle w:val="TextBody"/>
        <w:bidi w:val="0"/>
        <w:jc w:val="left"/>
        <w:rPr>
          <w:rFonts w:ascii="Times New Roman" w:hAnsi="Times New Roman"/>
          <w:color w:val="000000"/>
          <w:sz w:val="20"/>
        </w:rPr>
      </w:pPr>
      <w:r>
        <w:rPr>
          <w:rFonts w:ascii="Times New Roman" w:hAnsi="Times New Roman"/>
          <w:color w:val="000000"/>
          <w:sz w:val="20"/>
        </w:rPr>
        <w:t xml:space="preserve">Our capital expenditures were approximately $1 million for each of the six months ended July 3, 2026 and July 4, 2025. Historically, we have had significant cash requirements in order to organically expand our business to undertake new projects. Our cash requirements include costs related to increased expenditures for equipment, facilities and information systems, purchase of materials and production of materials and cash to fund our organic expansion into new markets, including through joint ventures. Our working capital needs are driven by the seasonality and growth of our business, with our cash requirements greater in periods of growth. Additional cash requirements resulting from our growth include the costs of additional personnel, enhancing our information systems, our compliance with laws and rules applicable to being a public company and, in the future, our integration of any acquisitions. Unrestricted cash and cash equivalents at July 3, 2026 totaled $17 million and availability under the Credit Agreement and ACF Credit Agreement totaled $4 million and $12 million, respectively, resulting in total liquidity of $33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historically relied upon cash available through operating activities, in addition to credit facilities and existing cash balances, to finance our working capital requirements and to support our growth.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we regularly monitor other potential capital sources, including equity and debt financing, in an effort to meet our planned expenditures and liquidity requirements. Our future success will be highly dependent on our ability to access outside sources of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is customary in our business, we are required to provide surety bonds to secure our performance under our contracts. Our ability to obtain surety bonds primarily depends upon our capitalization, working capital, past performance, management expertise and reputation and certain external factors, including the overall capacity of the surety market. Surety companies consider such factors in relationship to the amount of our backlog and their underwriting standards, which may change from time to time. We have pledged proceeds and other rights under our contracts to our bond surety company. Events that affect the insurance and bonding markets may result in bonding becoming more difficult to obtain in the future, or being available only at a significantly greater cost.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operating, investing and financing cash flows are sufficient to fund our operations for at least the next twelve months and thereafter for the foreseeable future. However, future cash flows are subject to a number of variables, and significant additional expenditures will be required to conduct our operations. There can be no assurance that operations and other capital resources will provide cash in sufficient amounts to maintain planned or future levels of expenditures. In the event we make one or more acquisitions and the amount of capital required is greater than the amount we have available for acquisitions at that time, we could be required to reduce the expected level of expenditures and/or seek additional capital. If we seek additional capital, we may do so through joint ventures, asset sales and sale-leaseback transactions, offerings of debt or equity securities or other means. We cannot guarantee that this additional capital will be available on acceptable terms or at all. If we are unable to obtain the funds we need, we may not be able to complete acquisitions that may be favorable to us or finance the expenditures necessary to conduct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debt outstanding on the condensed consolidated balance sheets is comprised of the following:</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010"/>
        <w:gridCol w:w="746"/>
        <w:gridCol w:w="251"/>
        <w:gridCol w:w="805"/>
        <w:gridCol w:w="1166"/>
        <w:gridCol w:w="1146"/>
        <w:gridCol w:w="306"/>
        <w:gridCol w:w="982"/>
        <w:gridCol w:w="793"/>
      </w:tblGrid>
      <w:tr>
        <w:trPr/>
        <w:tc>
          <w:tcPr>
            <w:tcW w:w="401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 2026</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2, 2026</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61,318</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46,424</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ACF Credit Agreement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8,194</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Ansley Loan Agreement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10,149</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12,971</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Unamortized debt issuance costs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20"/>
              </w:rPr>
              <w:t>Total debt,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72,389</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64,459</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20"/>
              </w:rPr>
              <w:t>Less: Current portion of long-term debt,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Times New Roman" w:hAnsi="Times New Roman"/>
                <w:color w:val="000000"/>
                <w:sz w:val="20"/>
              </w:rPr>
              <w:t>Long-term debt, less current portion,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69,947</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60,316</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20, 2024, the Company, as guarantor, and its wholly-owned subsidiaries as borrowers (“Borrowers”), Alter Domus (US) LLC, as agent, and AECOM and Berkshire Hathaway Specialty Insurance Company (“BHSI”) as lenders, entered into a revolving credit facility (the “Credit Agreement”), which was most recently amended on July 29, 2026 to, among other things, waive the specified noncompliance of the Material Project Documents covenant regarding entering into non-bonded contracts. As amended, the Credit Agreement provides borrowing capacity up to $60 million. The obligations under the Credit Agreement bear interest at a per annum rate equal to One Month Term SOFR (as defined in the Credit Agreement), subject to a 1.00% floor, plus 3.50%. Interest on any outstanding amounts drawn under the Credit Agreement will be payable, in kind or in cash at our election, on the last day of each month and upon prepayment. Payment-in-kind interest accrued and capitalized shall not constitute loan outstanding amounts for the purposes of calculating loan availability.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Agreement matures on May 20, 2029 (the “Maturity Date”), and the Borrowers may borrow, repay and reborrow amounts under the Credit Agreement until the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Obligations of the Borrowers under the Credit Agreement are guaranteed by the Company and secured by a lien on substantially all assets of the Company and the Borrowers.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contains customary affirmative and negative covenants for a transaction of this type, including covenants that limit liens, asset sales and investments, in each case subject to negotiated exceptions and baskets. In addition, the Credit Agreement contains a maximum leverage ratio covenant as tested quarterly commencing with the close of the third quarter of 2027. The Credit Agreement also contains representations and warranties and event of default provisions customary for a transaction of this type. The Company is not aware of any instances of noncompliance with non-financial or financial covenants as of July 3, 2026.</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ACF Credit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12, 2025, we entered into a credit agreement (“ACF Credit Agreement”) with ACF FINCO I LP, which provides a total commitment of $15 million and bears interest at an annual rate of adjusted term SOFR (as defined in the ACF Credit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 xml:space="preserve">subject to a 2.0% floor, plus 4.50%. Further, the ACF Credit Agreement is subject to an annual unused line fee of 0.50%. The ACF Credit Agreement includes certain financial operating covenants, including a minimum liquidity requirement of $5 million. The ACF Credit Agreement matures on the earlier of March 12, 2028 or 90 days prior to the maturity date of the Credit Agreement. As of July 3, 2026, we are not aware of any instances of noncompliance with non-financial or financial covenants.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Ansley Loan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31, 2025, we entered into a loan and security agreement (the “Ansley Loan Agreement”) with Ansley Park Capital LLC which provides for a borrowing capacity of $15.0 million as evidenced by two promissory notes (each, a “Promissory Note,” and together, the “Promissory Notes”).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Each Promissory Note has a maturity date of April 1, 2031, and accrues interest at a rate of 12.50% per annum. Pursuant to the terms of the Ansley Loan Agreement, we granted a security interest in (a) certain items of equipment described therein, (b) all leases, rental contracts, chattel paper, accounts, security deposits and general intangibles relating thereto and (c) and any and all proceeds thereof as collateral for the payments under the Ansley Loan Agreement. The Ansley Loan Agreement contains customary affirmative and negative covenants for a transaction of this type. In connection with the Ansley Loan Agreement, we entered into a separate guaranty agreement (each, a “Guaranty Agreement,” and together, the “Guaranty Agreements”) in favor of the Ansley Park Capital LLC unconditionally guaranteeing our liabilities and the liabilities of one of our wholly-owned subsidiaries under the Ansley Loan Agreement. As of July 3, 2026, we are not aware of any instances of noncompliance with non-financial or financial covenants.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July 3, 2026, the Company paid $2 million in cash interest and expensed $2 million in non-cash payment-in-kind interest. The total accrued payment-in-kind interest as of July 3, 2026 was $6 million.</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Underwriting Agreement</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On May 22, 2026, we entered into an Underwriting Agreement (the “Underwriting Agreement”) with Roth Capital Partners, LLC, as the underwriter named therein (the “Underwriter”), in connection with an underwritten public offering of 3,730,000 shares of our common stock, par value $0.01 per share, at a public offering price of $3.50 per share.</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Under the terms of the Underwriting Agreement, we granted the Underwriter a 30-day option to purchase up to 559,500 additional shares. In connection with the closing of the offering, the Underwriter exercised its option to purchase all 559,500 additional shares. As a result, we sold a total of 4,289,500 shares in the offering. After the underwriting discount and estimated offering expenses payable by us, we received net proceeds from the offering of approximately $14.0 million. The offering, including the sale of the additional Shares, closed on May 26, 2026.</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ATM Agreement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On September 8, 2025, we entered into an At The Market Offering Agreement (the “Sales Agreement”) with Roth Capital Partners, LLC (the “Sales Agent”). Under the Sales Agreement, the Sales Agent may, at our discretion, sell up to $7.8 million of shares of our common stock, in “at the market offerings” as defined in Rule 415 under the Securities Act of 1933, as amended. The shares will be sold pursuant to our Registration Statement on Form S-3 (File No. 333-288513), declared effective by the SEC on July 10, 2025, the related prospectus supplement (the “Initial Prospectus Supplement”) dated September 8, 2025 filed with the SEC in connection with the offer and sale of the shares, and the related prospectus supplement dated May 22, 2026, filed with the SEC in connection with the offering made pursuant to the Underwriting Agreement (the “Additional Prospectus Supplement,” and together with the Initial Prospectus Supplement, the “Prospectus Supplements”), which reduced the amount of our common stock registered under the Prospectus to $5.0 million.</w:t>
      </w:r>
    </w:p>
    <w:p>
      <w:pPr>
        <w:pStyle w:val="TextBody"/>
        <w:bidi w:val="0"/>
        <w:spacing w:before="240" w:after="240"/>
        <w:jc w:val="left"/>
        <w:rPr>
          <w:rFonts w:ascii="Times New Roman" w:hAnsi="Times New Roman"/>
          <w:color w:val="231F20"/>
          <w:sz w:val="20"/>
        </w:rPr>
      </w:pPr>
      <w:r>
        <w:rPr>
          <w:rFonts w:ascii="Times New Roman" w:hAnsi="Times New Roman"/>
          <w:color w:val="231F20"/>
          <w:sz w:val="20"/>
        </w:rPr>
        <w:t xml:space="preserve">We are not obligated to make any sales of shares under the Sales Agreement, and no assurance can be given that we will sell any shares under the Sales Agreement, or, if we do, as to the price or amount of shares that we will sell, or the dates on which any such sales will take place. We or the Sales Agent, under certain circumstances and upon notice to the other, may suspend the offering of the shares under the Sales Agreement. The offering of the Shares pursuant to the Sales Agreement will terminate upon the sale of shares in an aggregate offering amount equal to $7.8 million, or sooner if either we or the Sales Agent terminates the Sales Agreement. We will pay the Sales Agent a cash commission in an amount up to 3% of the gross proceeds from each sale of Shares sold pursuant to the Sales Agreement and will reimburse the Sales Agent for the documented fees and costs of its legal counsel reasonably incurred in connection with entering into the transactions contemplated by the Sales Agreement in an amount not to exceed $50,000 in the aggregate. </w:t>
      </w:r>
    </w:p>
    <w:p>
      <w:pPr>
        <w:pStyle w:val="TextBody"/>
        <w:bidi w:val="0"/>
        <w:spacing w:before="0" w:after="240"/>
        <w:jc w:val="left"/>
        <w:rPr>
          <w:rFonts w:ascii="Times New Roman" w:hAnsi="Times New Roman"/>
          <w:color w:val="231F20"/>
          <w:sz w:val="20"/>
        </w:rPr>
      </w:pPr>
      <w:r>
        <w:rPr>
          <w:rFonts w:ascii="Times New Roman" w:hAnsi="Times New Roman"/>
          <w:color w:val="231F20"/>
          <w:sz w:val="20"/>
        </w:rPr>
        <w:t xml:space="preserve">We made certain customary representations, warranties and covenants in the Sales Agreement concerning us and our subsidiaries and the Registration Statement, Prospectus, Prospectus Supplements and other documents and filings relating to the offering of the shares. In addition, we have agreed to indemnify the Sales Agent against certain liabilities, including liabilities under the Securities Act.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color w:val="231F20"/>
          <w:sz w:val="20"/>
        </w:rPr>
      </w:pPr>
      <w:r>
        <w:rPr>
          <w:rFonts w:ascii="Times New Roman" w:hAnsi="Times New Roman"/>
          <w:color w:val="231F20"/>
          <w:sz w:val="20"/>
        </w:rPr>
        <w:t>shares to be sold under the Sales Agreement, if any, will be issued and sold pursuant to our Statement, and its Prospectus Supplements related thereto.</w:t>
      </w:r>
    </w:p>
    <w:p>
      <w:pPr>
        <w:pStyle w:val="TextBody"/>
        <w:bidi w:val="0"/>
        <w:spacing w:before="0" w:after="240"/>
        <w:jc w:val="left"/>
        <w:rPr>
          <w:rFonts w:ascii="Times New Roman" w:hAnsi="Times New Roman"/>
          <w:i/>
          <w:color w:val="231F20"/>
          <w:sz w:val="20"/>
        </w:rPr>
      </w:pPr>
      <w:r>
        <w:rPr>
          <w:rFonts w:ascii="Times New Roman" w:hAnsi="Times New Roman"/>
          <w:i/>
          <w:color w:val="231F20"/>
          <w:sz w:val="20"/>
        </w:rPr>
        <w:t>Cash Flows Analysis</w:t>
      </w:r>
    </w:p>
    <w:p>
      <w:pPr>
        <w:pStyle w:val="TextBody"/>
        <w:bidi w:val="0"/>
        <w:jc w:val="left"/>
        <w:rPr>
          <w:rFonts w:ascii="Times New Roman" w:hAnsi="Times New Roman"/>
          <w:color w:val="231F20"/>
          <w:sz w:val="20"/>
        </w:rPr>
      </w:pPr>
      <w:r>
        <w:rPr>
          <w:rFonts w:ascii="Times New Roman" w:hAnsi="Times New Roman"/>
          <w:color w:val="231F20"/>
          <w:sz w:val="20"/>
        </w:rPr>
        <w:t>The following table sets forth our cash flows for the periods indicated:</w:t>
      </w:r>
    </w:p>
    <w:p>
      <w:pPr>
        <w:pStyle w:val="TextBody"/>
        <w:bidi w:val="0"/>
        <w:jc w:val="left"/>
        <w:rPr/>
      </w:pPr>
      <w:r>
        <w:rPr/>
        <w:t> </w:t>
      </w:r>
    </w:p>
    <w:tbl>
      <w:tblPr>
        <w:tblW w:w="7784" w:type="dxa"/>
        <w:jc w:val="left"/>
        <w:tblInd w:w="0" w:type="dxa"/>
        <w:tblLayout w:type="fixed"/>
        <w:tblCellMar>
          <w:top w:w="28" w:type="dxa"/>
          <w:left w:w="28" w:type="dxa"/>
          <w:bottom w:w="28" w:type="dxa"/>
          <w:right w:w="28" w:type="dxa"/>
        </w:tblCellMar>
      </w:tblPr>
      <w:tblGrid>
        <w:gridCol w:w="5221"/>
        <w:gridCol w:w="146"/>
        <w:gridCol w:w="211"/>
        <w:gridCol w:w="736"/>
        <w:gridCol w:w="166"/>
        <w:gridCol w:w="146"/>
        <w:gridCol w:w="211"/>
        <w:gridCol w:w="736"/>
        <w:gridCol w:w="2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240"/>
        <w:jc w:val="left"/>
        <w:rPr>
          <w:rFonts w:ascii="Times New Roman" w:hAnsi="Times New Roman"/>
          <w:i/>
          <w:color w:val="231F20"/>
          <w:sz w:val="20"/>
        </w:rPr>
      </w:pPr>
      <w:r>
        <w:rPr>
          <w:rFonts w:ascii="Times New Roman" w:hAnsi="Times New Roman"/>
          <w:i/>
          <w:color w:val="231F20"/>
          <w:sz w:val="20"/>
        </w:rPr>
        <w:t>Operating Activities</w:t>
      </w:r>
    </w:p>
    <w:p>
      <w:pPr>
        <w:pStyle w:val="TextBody"/>
        <w:bidi w:val="0"/>
        <w:jc w:val="left"/>
        <w:rPr>
          <w:rFonts w:ascii="Times New Roman" w:hAnsi="Times New Roman"/>
          <w:color w:val="231F20"/>
          <w:sz w:val="20"/>
        </w:rPr>
      </w:pPr>
      <w:r>
        <w:rPr>
          <w:rFonts w:ascii="Times New Roman" w:hAnsi="Times New Roman"/>
          <w:color w:val="231F20"/>
          <w:sz w:val="20"/>
        </w:rPr>
        <w:t>During the six months ended July 3, 2026, net cash used in operating activities was $25 million, compared to net cash used in operating activities of $42 million for the six months ended July 4, 2025. Cash flows used in operating activities were driven by net loss, adjusted for various non-cash items and changes in contract liabilities, contract assets, accounts payable and accrued expenses balances, accounts receivable and other assets and liabilities as discussed below.</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Operating assets and liabilities — The change in operating assets and liabilities varies due to fluctuations and timing in operating activities. The changes in the components of operating assets and liabilities during the six months ended July 3, 2026 and July 4, 2025 were as follows:</w:t>
      </w:r>
    </w:p>
    <w:p>
      <w:pPr>
        <w:pStyle w:val="TextBody"/>
        <w:bidi w:val="0"/>
        <w:jc w:val="left"/>
        <w:rPr/>
      </w:pPr>
      <w:r>
        <w:rPr/>
        <w:t> </w:t>
      </w:r>
    </w:p>
    <w:tbl>
      <w:tblPr>
        <w:tblW w:w="6449" w:type="dxa"/>
        <w:jc w:val="left"/>
        <w:tblInd w:w="0" w:type="dxa"/>
        <w:tblLayout w:type="fixed"/>
        <w:tblCellMar>
          <w:top w:w="28" w:type="dxa"/>
          <w:left w:w="28" w:type="dxa"/>
          <w:bottom w:w="28" w:type="dxa"/>
          <w:right w:w="28" w:type="dxa"/>
        </w:tblCellMar>
      </w:tblPr>
      <w:tblGrid>
        <w:gridCol w:w="3886"/>
        <w:gridCol w:w="146"/>
        <w:gridCol w:w="211"/>
        <w:gridCol w:w="736"/>
        <w:gridCol w:w="166"/>
        <w:gridCol w:w="146"/>
        <w:gridCol w:w="211"/>
        <w:gridCol w:w="736"/>
        <w:gridCol w:w="2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During the six months ended July 3, 2026, the decrease in operating assets and liabilities was $22 million, which was primarily driven by decreases in contract assets, contract liabilities and accounts receivable. The Company’s operating assets and liabilities fluctuations are impacted by the mix of projects in backlog, seasonality, the timing of new awards and related payments for work performed and the contract billings to the customer as projects are completed. Operating assets and liabilities are also impacted at period end by the timing of accounts receivable collections and accounts payable payments for projects.</w:t>
      </w:r>
    </w:p>
    <w:p>
      <w:pPr>
        <w:pStyle w:val="TextBody"/>
        <w:bidi w:val="0"/>
        <w:jc w:val="left"/>
        <w:rPr/>
      </w:pPr>
      <w:r>
        <w:rPr/>
        <w:t> </w:t>
      </w:r>
    </w:p>
    <w:p>
      <w:pPr>
        <w:pStyle w:val="TextBody"/>
        <w:bidi w:val="0"/>
        <w:spacing w:before="0" w:after="120"/>
        <w:jc w:val="left"/>
        <w:rPr>
          <w:rFonts w:ascii="Times New Roman" w:hAnsi="Times New Roman"/>
          <w:i/>
          <w:color w:val="231F20"/>
          <w:sz w:val="20"/>
        </w:rPr>
      </w:pPr>
      <w:r>
        <w:rPr>
          <w:rFonts w:ascii="Times New Roman" w:hAnsi="Times New Roman"/>
          <w:i/>
          <w:color w:val="231F20"/>
          <w:sz w:val="20"/>
        </w:rPr>
        <w:t>Investing Activities</w:t>
      </w:r>
    </w:p>
    <w:p>
      <w:pPr>
        <w:pStyle w:val="TextBody"/>
        <w:bidi w:val="0"/>
        <w:jc w:val="left"/>
        <w:rPr>
          <w:rFonts w:ascii="Times New Roman" w:hAnsi="Times New Roman"/>
          <w:color w:val="231F20"/>
          <w:sz w:val="20"/>
        </w:rPr>
      </w:pPr>
      <w:r>
        <w:rPr>
          <w:rFonts w:ascii="Times New Roman" w:hAnsi="Times New Roman"/>
          <w:color w:val="231F20"/>
          <w:sz w:val="20"/>
        </w:rPr>
        <w:t>For the six months ended July 3, 2026, net cash provided by investing activities was $2 million, which was primarily driven by proceeds from sale of assets.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For the six months ended July 4, 2025, net cash provided by investing activities was $2 million, which was primarily driven by return of investment in unconsolidated joint ventures.</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Financing Activities</w:t>
      </w:r>
    </w:p>
    <w:p>
      <w:pPr>
        <w:pStyle w:val="TextBody"/>
        <w:bidi w:val="0"/>
        <w:jc w:val="left"/>
        <w:rPr>
          <w:rFonts w:ascii="Times New Roman" w:hAnsi="Times New Roman"/>
          <w:color w:val="231F20"/>
          <w:sz w:val="20"/>
        </w:rPr>
      </w:pPr>
      <w:r>
        <w:rPr>
          <w:rFonts w:ascii="Times New Roman" w:hAnsi="Times New Roman"/>
          <w:color w:val="231F20"/>
          <w:sz w:val="20"/>
        </w:rPr>
        <w:t xml:space="preserve">For the six months ended July 3, 2026, net cash provided by financing activities was $19 million, which primarily consisted of borrowings from credit agreements of $33 million and net proceeds from an underwritten equity offering of $14 million, partially offset by repayments on credit and loan agreements of $27 million.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231F20"/>
          <w:sz w:val="20"/>
        </w:rPr>
      </w:pPr>
      <w:r>
        <w:rPr>
          <w:rFonts w:ascii="Times New Roman" w:hAnsi="Times New Roman"/>
          <w:color w:val="231F20"/>
          <w:sz w:val="20"/>
        </w:rPr>
        <w:t xml:space="preserve">For the six months ended July 4, 2025, net cash provided by financing activities was $27 million, which primarily consisted of net borrowings from credit and loan agreements of $28 million, partially offset by $1 million of other, net which is primarily comprised of debt issuance costs incurred for the ACF Credit Agreement and Ansley Loan Agreement entered into during the first quarter of 2025. </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Letters of Credit</w:t>
      </w:r>
    </w:p>
    <w:p>
      <w:pPr>
        <w:pStyle w:val="TextBody"/>
        <w:bidi w:val="0"/>
        <w:jc w:val="left"/>
        <w:rPr>
          <w:rFonts w:ascii="Times New Roman" w:hAnsi="Times New Roman"/>
          <w:color w:val="231F20"/>
          <w:sz w:val="20"/>
        </w:rPr>
      </w:pPr>
      <w:r>
        <w:rPr>
          <w:rFonts w:ascii="Times New Roman" w:hAnsi="Times New Roman"/>
          <w:color w:val="231F20"/>
          <w:sz w:val="20"/>
        </w:rPr>
        <w:t>We obtain standby letters of credit required by our insurance carriers. At July 3, 2026, the total amount of standby letters of credit outstanding was $10 million. The Company did not have any letters of credit as of January 2, 2026.</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Contractual Obligations</w:t>
      </w:r>
    </w:p>
    <w:p>
      <w:pPr>
        <w:pStyle w:val="TextBody"/>
        <w:bidi w:val="0"/>
        <w:jc w:val="left"/>
        <w:rPr>
          <w:rFonts w:ascii="Times New Roman" w:hAnsi="Times New Roman"/>
          <w:color w:val="231F20"/>
          <w:sz w:val="20"/>
        </w:rPr>
      </w:pPr>
      <w:r>
        <w:rPr>
          <w:rFonts w:ascii="Times New Roman" w:hAnsi="Times New Roman"/>
          <w:color w:val="231F20"/>
          <w:sz w:val="20"/>
        </w:rPr>
        <w:t>Contractual obligations of the Company consisted of liabilities associated with remaining lease payments for the remainder of the fiscal year ending January 1, 2027 through the fiscal years ending January 3, 2030 of approximately $4 million, $4 million, $4 million, $3 million, $2 million, respectively, and approximately $1 million in the aggregate thereafter based on balances outstanding as of July 3,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Backlog</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Our backlog consists of the remaining unearned revenue on awarded contracts, including our pro-rata share of work to be performed by unconsolidated joint ventures, less the joint venture partners’ pro-rata share of work to be performed by consolidated joint ventures. We include in backlog estimates of the amount of consideration to be received, including bonuses, awards, incentive fees, fixed-price awards, claims, unpriced change orders, penalties, minimum customer commitments on cost plus arrangements, liquidated damages and certain time and material arrangements in which the estimated value is firm or can be estimated with a reasonable amount of certainty in both timing and amounts. As construction on our contracts progresses, we increase or decrease backlog to take account of changes in estimated quantities under fixed-price contracts, as well as to reflect changed conditions, change orders and other variations from initially anticipated contract revenue and costs, including completion penalties and bonuses. Substantially all of the contracts in our backlog may be canceled or modified at the election of the customer.</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As of July 3, 2026, we had a backlog of projects of $991 million.</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following tables present the Company's percentage of backlog by customer type, contract type and backlog recognized:</w:t>
      </w:r>
    </w:p>
    <w:p>
      <w:pPr>
        <w:pStyle w:val="TextBody"/>
        <w:bidi w:val="0"/>
        <w:jc w:val="left"/>
        <w:rPr/>
      </w:pPr>
      <w:r>
        <w:rPr/>
        <w:t> </w:t>
      </w:r>
    </w:p>
    <w:tbl>
      <w:tblPr>
        <w:tblW w:w="3973" w:type="dxa"/>
        <w:jc w:val="left"/>
        <w:tblInd w:w="0" w:type="dxa"/>
        <w:tblLayout w:type="fixed"/>
        <w:tblCellMar>
          <w:top w:w="28" w:type="dxa"/>
          <w:left w:w="28" w:type="dxa"/>
          <w:bottom w:w="28" w:type="dxa"/>
          <w:right w:w="28" w:type="dxa"/>
        </w:tblCellMar>
      </w:tblPr>
      <w:tblGrid>
        <w:gridCol w:w="2371"/>
        <w:gridCol w:w="146"/>
        <w:gridCol w:w="293"/>
        <w:gridCol w:w="847"/>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Backlog by customer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owners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pPr>
      <w:r>
        <w:rPr/>
        <w:t> </w:t>
      </w:r>
    </w:p>
    <w:tbl>
      <w:tblPr>
        <w:tblW w:w="3898" w:type="dxa"/>
        <w:jc w:val="left"/>
        <w:tblInd w:w="0" w:type="dxa"/>
        <w:tblLayout w:type="fixed"/>
        <w:tblCellMar>
          <w:top w:w="28" w:type="dxa"/>
          <w:left w:w="28" w:type="dxa"/>
          <w:bottom w:w="28" w:type="dxa"/>
          <w:right w:w="28" w:type="dxa"/>
        </w:tblCellMar>
      </w:tblPr>
      <w:tblGrid>
        <w:gridCol w:w="2296"/>
        <w:gridCol w:w="146"/>
        <w:gridCol w:w="293"/>
        <w:gridCol w:w="847"/>
        <w:gridCol w:w="31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Backlog by contract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reimbursable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pPr>
      <w:r>
        <w:rPr/>
        <w:t> </w:t>
      </w:r>
    </w:p>
    <w:tbl>
      <w:tblPr>
        <w:tblW w:w="4333" w:type="dxa"/>
        <w:jc w:val="left"/>
        <w:tblInd w:w="0" w:type="dxa"/>
        <w:tblLayout w:type="fixed"/>
        <w:tblCellMar>
          <w:top w:w="28" w:type="dxa"/>
          <w:left w:w="28" w:type="dxa"/>
          <w:bottom w:w="28" w:type="dxa"/>
          <w:right w:w="28" w:type="dxa"/>
        </w:tblCellMar>
      </w:tblPr>
      <w:tblGrid>
        <w:gridCol w:w="2731"/>
        <w:gridCol w:w="146"/>
        <w:gridCol w:w="293"/>
        <w:gridCol w:w="847"/>
        <w:gridCol w:w="31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3,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Estimated backlog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 to 24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 to 36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Beyond 36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backlog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our joint ventures, the liability of each partner is usually joint and several. This means that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We are unable to estimate the maximum potential amount of future payments that we could be required to make under outstanding performance guarantees related to joint venture projects due to a number of factors, including but not limited to, the nature and extent of any contractual defaults by our joint venture partners, resource availability, potential performance delays caused by the defaults, the location of the projects, and the terms of the related contracts.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The discussion of our financial condition and results of operations is based upon our condensed consolidated financial statements, which have been prepared in accordance with GAAP. The preparation of these financial statements requires us to make estimates and judgments that affect the reported amounts of assets and liabilities, the disclosure of contingent assets and liabilities at the date of the financial statements and the reported amounts of revenue and expenses during the reporting period. We evaluate our estimates and assumptions on an ongoing basis.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condensed consolidated financial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critical accounting estimates are described in more detail in Item 7, Management’s Discussion and Analysis of Financial Condition and Results of Operations, of our Form 10-K. There have been no other significant changes in our critical accounting estimates from those reported in our Form 10-K and we believe that the related judgments and assessments have been consistently applied and produce financial information that fairly depicts the financial condition, results of operations, and cash flows for all periods presented.</w:t>
      </w:r>
    </w:p>
    <w:p>
      <w:pPr>
        <w:pStyle w:val="TextBody"/>
        <w:bidi w:val="0"/>
        <w:spacing w:before="360" w:after="283"/>
        <w:jc w:val="left"/>
        <w:rPr>
          <w:rFonts w:ascii="Times New Roman" w:hAnsi="Times New Roman"/>
          <w:sz w:val="20"/>
        </w:rPr>
      </w:pPr>
      <w:r>
        <w:rPr>
          <w:rFonts w:ascii="Times New Roman" w:hAnsi="Times New Roman"/>
          <w:b/>
          <w:color w:val="000000"/>
          <w:sz w:val="20"/>
        </w:rPr>
        <w:t>Emerging Growth Company and Smaller Reporting Company</w:t>
      </w:r>
      <w:r>
        <w:rPr>
          <w:rFonts w:ascii="Times New Roman" w:hAnsi="Times New Roman"/>
          <w:color w:val="000000"/>
          <w:sz w:val="20"/>
        </w:rPr>
        <w:t xml:space="preserve">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For so long as we are an emerging growth company, we will,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 required to comply with the auditor attestation requirements of Section 404(b) of the Sarbanes-Oxley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 required to hold a nonbinding advisory stockholder vote on executive compensation pursuant to Section 14A(a) of the Exchange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 required to seek stockholder approval of any golden parachute payments not previously approved pursuant to Section 14A(b) of the Exchange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exempt from any rule adopted by the Public Company Accounting Oversight Board, requiring mandatory audit firm rotation and identification of critical audit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reduced disclosure obligations regarding executive compensation in our periodic reports and proxy statements,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reduced obligations with respect to financial data, including presenting only two years of audited financial statements and only two years of selected financial data in the Form 10-K.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will continue to qualify as an emerging growth company until the earliest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last day of our fiscal year following the fifth anniversary of the date of our initial public offering,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last day of our fiscal year in which we have annual gross revenue of $1.235 billion or more,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on which we have, during the previous three-year period, issued more than $1.0 billion in non-convertible debt,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on which we are deemed to be a “large accelerated filer,” which will occur at such time as we (1) have an aggregate worldwide market value of common equity securities held by non-affiliates of $700.0 million or more as of the last business day of our most recently completed second fiscal quarter, (2) have been required to file annual and quarterly reports under the Exchange Act for a period of at least 12 months and (3) have filed at least one annual report pursuant to the Exchange 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 million during the most recently completed fiscal year and our voting and non-voting common stock held by non-affiliates is less than $700 million measured on the last business day of our second fiscal quarter.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0" w:name="item_3_quantitative_and_qualitative"/>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 as we are a “smaller reporting company,” as defined in the Exchange Act.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Evaluation of Disclosure Controls and Procedures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13a-15(f) and 15d-15(f) under the Exchange Act). Management, under the supervision and with the participation of the Chief Executive Officer and Chief Financial Officer, has conducted an evaluation of the effectiveness of the design and operation of our disclosure controls and procedures (as defined in Rules 13a-15(e) and 15d-15(e) under the Exchange Act). In conducting our evaluation, management used the updated framework issued by the Committee of Sponsoring Organizations of the Treadway Commission (“COSO”) in Internal Control–Integrated Framework (2013). Disclosure controls and procedures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Based on that evaluation, management concluded that, as of July 3, 2026, our disclosure controls and procedures were not effective due to the material weaknesses in internal control over financial reporting described below.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discussed in Item 9A of our Form 10-K, as of January 2, 2026, we identified material weaknesses in our internal control over financial reporting related to the operating effectiveness of controls associated with revenue and journal entries and the design and operating effectiveness of controls associated with income tax accounting. Specifically, we did not maintain effective internal controls over the preparation, review, and approval of journal entries to verify appropriate authorization. In addition, we did not maintain effective controls over the calculation, review and recording of income tax accounts, including the income tax provision, deferred tax assets and liabilities, and related disclosures. We also identified a deficiency in controls over the revenue review of estimates at completion, as there was insufficient evidence to support that reviews were performed for amounts exceeding established thresholds. Finally, we continue to remediate the monitoring aspect of our internal controls with respect to having an established, consistently executed plan to test all relevant control activities for operating effectiveness on a regular basis such that there is sufficient evidence that all controls are operating effectively as of year end.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performed additional analyses and other procedures to ensure that our condensed consolidated financial statements were prepared in accordance with U.S. GAAP. Accordingly, management believes that the condensed consolidated financial statements included in this Form 10-Q fairly present, in all material respects, our financial position, results of operations, and cash flows as of and for the periods presented in this Form 10-Q, in accordance with U.S. GAAP.</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Management’s Plan to Remediate the Identified Material Weaknesses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implemented and are in the process of executing a remediation plan which includes consistently documenting the support related to the revenue project estimate at completion modules, timely executing a formal review process to ensure journal entries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reviewed and approved in a timely manner and enhancing the oversight and review of income tax-related accounting calculations to validate completion and accuracy.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Changes in Internal Control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 the exception of the implementation and enhancement of controls in connection with our remediation activities described above, there were no changes to our internal control over financial reporting during the quarter ended July 3, 2026 that have materially affected, or that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part_ii_other_information"/>
      <w:bookmarkEnd w:id="12"/>
      <w:r>
        <w:rPr>
          <w:rFonts w:ascii="Times New Roman" w:hAnsi="Times New Roman"/>
          <w:b/>
          <w:color w:val="000000"/>
          <w:sz w:val="20"/>
        </w:rPr>
        <w:t>PART II. OTHER INFORMATION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with respect to this Part II, Item 1 can be found under Item 1., Financial Statements, Note 11 - Commitments and Contingencies, to the unaudited condensed consolidated financial statements included in Part I, Item 1 of this Form 10-Q.</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have been no material changes to the risk factors disclosed in the Form 10-K.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5" w:name="item_2_unregistered_sales_of_equity_secu"/>
      <w:bookmarkEnd w:id="15"/>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fiscal quarter ended July 3, 2026,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 except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40"/>
        <w:gridCol w:w="146"/>
        <w:gridCol w:w="1111"/>
        <w:gridCol w:w="146"/>
        <w:gridCol w:w="700"/>
        <w:gridCol w:w="146"/>
        <w:gridCol w:w="964"/>
        <w:gridCol w:w="146"/>
        <w:gridCol w:w="515"/>
        <w:gridCol w:w="587"/>
        <w:gridCol w:w="146"/>
        <w:gridCol w:w="146"/>
        <w:gridCol w:w="292"/>
        <w:gridCol w:w="1564"/>
        <w:gridCol w:w="146"/>
        <w:gridCol w:w="146"/>
        <w:gridCol w:w="1364"/>
      </w:tblGrid>
      <w:tr>
        <w:trPr/>
        <w:tc>
          <w:tcPr>
            <w:tcW w:w="1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r>
      <w:tr>
        <w:trPr/>
        <w:tc>
          <w:tcPr>
            <w:tcW w:w="1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Plan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and 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Rule 10b5-1(c)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Maximum Number of Securities to be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Plan Expiration Date</w:t>
            </w:r>
          </w:p>
        </w:tc>
      </w:tr>
      <w:tr>
        <w:trPr/>
        <w:tc>
          <w:tcPr>
            <w:tcW w:w="194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Mitchell B. Goldsteen</w:t>
            </w:r>
            <w:r>
              <w:rPr>
                <w:rFonts w:ascii="Times New Roman" w:hAnsi="Times New Roman"/>
                <w:color w:val="000000"/>
                <w:sz w:val="13"/>
              </w:rPr>
              <w:t>(1)</w:t>
            </w:r>
            <w:r>
              <w:rPr>
                <w:rFonts w:ascii="Times New Roman" w:hAnsi="Times New Roman"/>
                <w:color w:val="000000"/>
                <w:sz w:val="20"/>
              </w:rPr>
              <w:t>, Executive Chairman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Termination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05/29/2026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364"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03/08/2027</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sz w:val="22"/>
        </w:rPr>
      </w:pPr>
      <w:r>
        <w:rPr>
          <w:rFonts w:ascii="Times New Roman" w:hAnsi="Times New Roman"/>
          <w:color w:val="000000"/>
          <w:sz w:val="20"/>
        </w:rPr>
        <w:t>Effective May 29, 2026, Mr. Goldsteen terminated this Rule 10b5-1 trading arrangement which was originally adopted on</w:t>
        <w:br/>
        <w:t>December 5, 2025 through GOHO LLC, an entity which he controls. 125,000</w:t>
      </w:r>
      <w:r>
        <w:rPr>
          <w:rFonts w:ascii="Times New Roman" w:hAnsi="Times New Roman"/>
          <w:color w:val="000000"/>
          <w:sz w:val="22"/>
        </w:rPr>
        <w:t xml:space="preserve"> </w:t>
      </w:r>
      <w:r>
        <w:rPr>
          <w:rFonts w:ascii="Times New Roman" w:hAnsi="Times New Roman"/>
          <w:color w:val="000000"/>
          <w:sz w:val="20"/>
        </w:rPr>
        <w:t>shares were sold under this written plan prior to its termination.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4"/>
        <w:gridCol w:w="146"/>
        <w:gridCol w:w="9305"/>
      </w:tblGrid>
      <w:tr>
        <w:trPr/>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5" w:type="dxa"/>
            <w:tcBorders/>
            <w:vAlign w:val="center"/>
          </w:tcPr>
          <w:p>
            <w:pPr>
              <w:pStyle w:val="TableContents"/>
              <w:bidi w:val="0"/>
              <w:spacing w:before="0" w:after="283"/>
              <w:jc w:val="left"/>
              <w:rPr>
                <w:sz w:val="4"/>
                <w:szCs w:val="4"/>
              </w:rPr>
            </w:pPr>
            <w:r>
              <w:rPr>
                <w:sz w:val="4"/>
                <w:szCs w:val="4"/>
              </w:rPr>
            </w:r>
          </w:p>
        </w:tc>
      </w:tr>
      <w:tr>
        <w:trPr/>
        <w:tc>
          <w:tcPr>
            <w:tcW w:w="75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10_1.htm">
              <w:r>
                <w:rPr>
                  <w:rStyle w:val="InternetLink"/>
                  <w:rFonts w:ascii="Times New Roman" w:hAnsi="Times New Roman"/>
                  <w:color w:val="0000FF"/>
                  <w:sz w:val="20"/>
                  <w:u w:val="single"/>
                </w:rPr>
                <w:t>Amendment No. 10 to Credit, Security and Guaranty Agreement, dated July 29, 2026, by and among Shimmick Construction Company, Inc., Rust Constructors Inc., The Leasing Corporation, Shimmick Corporation, the other guarantors party thereto, the agent thereunder, and the lenders from time to time party thereto</w:t>
              </w:r>
            </w:hyperlink>
            <w:hyperlink w:anchor="shim-ex10_1.htm">
              <w:r>
                <w:rPr>
                  <w:rStyle w:val="InternetLink"/>
                  <w:rFonts w:ascii="Times New Roman" w:hAnsi="Times New Roman"/>
                  <w:color w:val="0000FF"/>
                  <w:sz w:val="20"/>
                </w:rPr>
                <w:t xml:space="preserve"> </w:t>
              </w:r>
            </w:hyperlink>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7784" w:type="dxa"/>
        <w:jc w:val="left"/>
        <w:tblInd w:w="0" w:type="dxa"/>
        <w:tblLayout w:type="fixed"/>
        <w:tblCellMar>
          <w:top w:w="28" w:type="dxa"/>
          <w:left w:w="28" w:type="dxa"/>
          <w:bottom w:w="28" w:type="dxa"/>
          <w:right w:w="28" w:type="dxa"/>
        </w:tblCellMar>
      </w:tblPr>
      <w:tblGrid>
        <w:gridCol w:w="1951"/>
        <w:gridCol w:w="146"/>
        <w:gridCol w:w="406"/>
        <w:gridCol w:w="528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Corporation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W. Yoder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Todd W. Yoder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Chief Financial Officer and Treasurer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Heading1"/>
        <w:bidi w:val="0"/>
        <w:spacing w:before="80" w:after="283"/>
        <w:jc w:val="right"/>
        <w:rPr>
          <w:rFonts w:ascii="Times New Roman" w:hAnsi="Times New Roman"/>
          <w:color w:val="000000"/>
          <w:sz w:val="22"/>
        </w:rPr>
      </w:pPr>
      <w:bookmarkStart w:id="21" w:name="shim-ex10_1.htm"/>
      <w:bookmarkStart w:id="22" w:name="ksshimex10_1"/>
      <w:bookmarkEnd w:id="21"/>
      <w:bookmarkEnd w:id="22"/>
      <w:r>
        <w:rPr>
          <w:rFonts w:ascii="Times New Roman" w:hAnsi="Times New Roman"/>
          <w:color w:val="000000"/>
          <w:sz w:val="22"/>
        </w:rPr>
        <w:t>Exhibit 10.1</w:t>
      </w:r>
      <w:r>
        <w:br w:type="page"/>
      </w:r>
    </w:p>
    <w:p>
      <w:pPr>
        <w:pStyle w:val="Heading1"/>
        <w:bidi w:val="0"/>
        <w:spacing w:before="80" w:after="283"/>
        <w:jc w:val="center"/>
        <w:rPr/>
      </w:pPr>
      <w:r>
        <w:rPr/>
        <w:t> </w:t>
      </w:r>
    </w:p>
    <w:p>
      <w:pPr>
        <w:pStyle w:val="Heading1"/>
        <w:bidi w:val="0"/>
        <w:spacing w:before="80" w:after="283"/>
        <w:jc w:val="center"/>
        <w:rPr>
          <w:rFonts w:ascii="Times New Roman" w:hAnsi="Times New Roman"/>
          <w:color w:val="000000"/>
          <w:sz w:val="22"/>
        </w:rPr>
      </w:pPr>
      <w:r>
        <w:rPr>
          <w:rFonts w:ascii="Times New Roman" w:hAnsi="Times New Roman"/>
          <w:color w:val="000000"/>
          <w:sz w:val="22"/>
        </w:rPr>
        <w:t>AMENDMENT NO. 10 TO CREDIT, SECURITY AND GUARANTY AGREEMENT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This AMENDMENT NO. 10 TO CREDIT, SECURITY AND GUARANTY AGREEMENT (this</w:t>
      </w:r>
    </w:p>
    <w:p>
      <w:pPr>
        <w:pStyle w:val="TextBody"/>
        <w:bidi w:val="0"/>
        <w:jc w:val="both"/>
        <w:rPr/>
      </w:pPr>
      <w:r>
        <w:rPr>
          <w:color w:val="000000"/>
        </w:rPr>
        <w:t>“</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made as of this 29th day of July, 2026 (the “</w:t>
      </w:r>
      <w:r>
        <w:rPr>
          <w:rFonts w:ascii="Times New Roman" w:hAnsi="Times New Roman"/>
          <w:b/>
          <w:color w:val="000000"/>
          <w:sz w:val="22"/>
        </w:rPr>
        <w:t>Tenth Amendment Effective Date</w:t>
      </w:r>
      <w:r>
        <w:rPr>
          <w:rFonts w:ascii="Times New Roman" w:hAnsi="Times New Roman"/>
          <w:color w:val="000000"/>
          <w:sz w:val="20"/>
        </w:rPr>
        <w:t>”</w:t>
      </w:r>
      <w:r>
        <w:rPr>
          <w:rFonts w:ascii="Times New Roman" w:hAnsi="Times New Roman"/>
          <w:color w:val="000000"/>
          <w:sz w:val="22"/>
        </w:rPr>
        <w:t xml:space="preserve">), by and among </w:t>
      </w:r>
      <w:r>
        <w:rPr>
          <w:rFonts w:ascii="Times New Roman" w:hAnsi="Times New Roman"/>
          <w:b/>
          <w:color w:val="000000"/>
          <w:sz w:val="22"/>
        </w:rPr>
        <w:t>SHIMMICK CONSTRUCTION COMPANY, INC.</w:t>
      </w:r>
      <w:r>
        <w:rPr>
          <w:rFonts w:ascii="Times New Roman" w:hAnsi="Times New Roman"/>
          <w:color w:val="000000"/>
          <w:sz w:val="22"/>
        </w:rPr>
        <w:t>, a California corporation (“</w:t>
      </w:r>
      <w:r>
        <w:rPr>
          <w:rFonts w:ascii="Times New Roman" w:hAnsi="Times New Roman"/>
          <w:b/>
          <w:color w:val="000000"/>
          <w:sz w:val="22"/>
        </w:rPr>
        <w:t>Shimmick</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b/>
          <w:color w:val="000000"/>
          <w:sz w:val="22"/>
        </w:rPr>
        <w:t>RUST CONSTRUCTORS INC.</w:t>
      </w:r>
      <w:r>
        <w:rPr>
          <w:rFonts w:ascii="Times New Roman" w:hAnsi="Times New Roman"/>
          <w:color w:val="000000"/>
          <w:sz w:val="22"/>
        </w:rPr>
        <w:t xml:space="preserve">, a Delaware corporation, </w:t>
      </w:r>
      <w:r>
        <w:rPr>
          <w:rFonts w:ascii="Times New Roman" w:hAnsi="Times New Roman"/>
          <w:b/>
          <w:color w:val="000000"/>
          <w:sz w:val="22"/>
        </w:rPr>
        <w:t>THE LEASING CORPORATION</w:t>
      </w:r>
      <w:r>
        <w:rPr>
          <w:rFonts w:ascii="Times New Roman" w:hAnsi="Times New Roman"/>
          <w:color w:val="000000"/>
          <w:sz w:val="22"/>
        </w:rPr>
        <w:t xml:space="preserve">, a Nevada corporation, </w:t>
      </w:r>
      <w:r>
        <w:rPr>
          <w:rFonts w:ascii="Times New Roman" w:hAnsi="Times New Roman"/>
          <w:b/>
          <w:color w:val="000000"/>
          <w:sz w:val="22"/>
        </w:rPr>
        <w:t>AXIA ELECTRIC LLC</w:t>
      </w:r>
      <w:r>
        <w:rPr>
          <w:rFonts w:ascii="Times New Roman" w:hAnsi="Times New Roman"/>
          <w:color w:val="000000"/>
          <w:sz w:val="22"/>
        </w:rPr>
        <w:t>, a Delaware limited liability company (collectively, the “</w:t>
      </w:r>
      <w:r>
        <w:rPr>
          <w:rFonts w:ascii="Times New Roman" w:hAnsi="Times New Roman"/>
          <w:b/>
          <w:color w:val="000000"/>
          <w:sz w:val="22"/>
        </w:rPr>
        <w:t>Borrowers</w:t>
      </w:r>
      <w:r>
        <w:rPr>
          <w:rFonts w:ascii="Times New Roman" w:hAnsi="Times New Roman"/>
          <w:color w:val="000000"/>
          <w:sz w:val="20"/>
        </w:rPr>
        <w:t xml:space="preserve">” </w:t>
      </w:r>
      <w:r>
        <w:rPr>
          <w:rFonts w:ascii="Times New Roman" w:hAnsi="Times New Roman"/>
          <w:color w:val="000000"/>
          <w:sz w:val="22"/>
        </w:rPr>
        <w:t>and each individually, a “</w:t>
      </w:r>
      <w:r>
        <w:rPr>
          <w:rFonts w:ascii="Times New Roman" w:hAnsi="Times New Roman"/>
          <w:b/>
          <w:color w:val="000000"/>
          <w:sz w:val="22"/>
        </w:rPr>
        <w:t>Borrower</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b/>
          <w:color w:val="000000"/>
          <w:sz w:val="22"/>
        </w:rPr>
        <w:t xml:space="preserve">SHIMMICK CORPORATION </w:t>
      </w:r>
      <w:r>
        <w:rPr>
          <w:rFonts w:ascii="Times New Roman" w:hAnsi="Times New Roman"/>
          <w:color w:val="000000"/>
          <w:sz w:val="22"/>
        </w:rPr>
        <w:t>(f/k/a SCCI National Holdings, Inc.), a Delaware corporation (“</w:t>
      </w:r>
      <w:r>
        <w:rPr>
          <w:rFonts w:ascii="Times New Roman" w:hAnsi="Times New Roman"/>
          <w:b/>
          <w:color w:val="000000"/>
          <w:sz w:val="22"/>
        </w:rPr>
        <w:t>Holdings</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b/>
          <w:color w:val="000000"/>
          <w:sz w:val="22"/>
        </w:rPr>
        <w:t>ALTER DOMUS (US) LLC</w:t>
      </w:r>
      <w:r>
        <w:rPr>
          <w:rFonts w:ascii="Times New Roman" w:hAnsi="Times New Roman"/>
          <w:color w:val="000000"/>
          <w:sz w:val="22"/>
        </w:rPr>
        <w:t>, a Delaware limited liability company, as Agent, and the financial institutions or other entities parties hereto, each as a Lender.</w:t>
      </w:r>
    </w:p>
    <w:p>
      <w:pPr>
        <w:pStyle w:val="Heading1"/>
        <w:bidi w:val="0"/>
        <w:spacing w:before="240" w:after="283"/>
        <w:jc w:val="center"/>
        <w:rPr>
          <w:rFonts w:ascii="Times New Roman" w:hAnsi="Times New Roman"/>
          <w:color w:val="000000"/>
          <w:sz w:val="22"/>
        </w:rPr>
      </w:pPr>
      <w:r>
        <w:rPr>
          <w:rFonts w:ascii="Times New Roman" w:hAnsi="Times New Roman"/>
          <w:color w:val="000000"/>
          <w:sz w:val="22"/>
        </w:rPr>
        <w:t>RECITALS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Agent, Lenders, Borrowers and Holdings have entered into that certain Credit, Security and Guaranty Agreement, dated as of May 20, 2024, as amended by that certain Amendment No. 1 to Credit, Security and Guaranty Agreement, dated as of September 25, 2024, Amendment No. 2 to Credit, Security and Guaranty Agreement, dated as of January 30, 2025, Amendment No. 3 and Limited Waiver to Credit, Security and Guaranty Agreement, dated as of March 12, 2025, Amendment No. 4 to Credit, Security and Guaranty Agreement, dated as of March 31, 2025, Amendment No. 5 to Credit Security and Guaranty Agreement, dated as of May 12, 2025, Amendment No. 6 to Credit, Security and Guaranty Agreement, dated as of August 8, 2025, Amendment No. 7 to Credit, Security and Guaranty Agreement, dated as of October 31, 2025, Amendment No. 8 to Credit, Security and Guaranty Agreement, dated as of March 9, 2026 and Amendment No. 9 to Credit, Security and Guaranty Agreement, dated as of May 8, 2026, and as supplemented by that certain Joinder No. 1 to Credit, Security and Guaranty Agreement, dated as of July 31, 2025 (as amended, the “</w:t>
      </w:r>
      <w:r>
        <w:rPr>
          <w:rFonts w:ascii="Times New Roman" w:hAnsi="Times New Roman"/>
          <w:b/>
          <w:color w:val="000000"/>
          <w:sz w:val="22"/>
        </w:rPr>
        <w:t>Existing Credit Agreement</w:t>
      </w:r>
      <w:r>
        <w:rPr>
          <w:color w:val="000000"/>
        </w:rPr>
        <w:t xml:space="preserve">” </w:t>
      </w:r>
      <w:r>
        <w:rPr>
          <w:rFonts w:ascii="Times New Roman" w:hAnsi="Times New Roman"/>
          <w:color w:val="000000"/>
          <w:sz w:val="22"/>
        </w:rPr>
        <w:t>and as amended hereby and as it may be further amended, modified, supplemented and restated from time to time, the “</w:t>
      </w:r>
      <w:r>
        <w:rPr>
          <w:rFonts w:ascii="Times New Roman" w:hAnsi="Times New Roman"/>
          <w:b/>
          <w:color w:val="000000"/>
          <w:sz w:val="22"/>
        </w:rPr>
        <w:t>Credit Agreement</w:t>
      </w:r>
      <w:r>
        <w:rPr>
          <w:color w:val="000000"/>
        </w:rPr>
        <w:t>”</w:t>
      </w:r>
      <w:r>
        <w:rPr>
          <w:rFonts w:ascii="Times New Roman" w:hAnsi="Times New Roman"/>
          <w:color w:val="000000"/>
          <w:sz w:val="22"/>
        </w:rPr>
        <w:t>), pursuant to which the Lenders have agreed to make certain advances of money and to extend certain financial accommodations to Borrowers in the amounts and manner set forth in the Credit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Borrowers and Holdings have requested, and Agent and all Lenders have agreed, to amend certain provisions of the Existing Credit Agreement, in each case, in accordance with the terms and subject to the conditions set forth herein.</w:t>
      </w:r>
    </w:p>
    <w:p>
      <w:pPr>
        <w:pStyle w:val="Heading1"/>
        <w:bidi w:val="0"/>
        <w:spacing w:before="240" w:after="283"/>
        <w:jc w:val="center"/>
        <w:rPr>
          <w:rFonts w:ascii="Times New Roman" w:hAnsi="Times New Roman"/>
          <w:color w:val="000000"/>
          <w:sz w:val="22"/>
        </w:rPr>
      </w:pPr>
      <w:r>
        <w:rPr>
          <w:rFonts w:ascii="Times New Roman" w:hAnsi="Times New Roman"/>
          <w:color w:val="000000"/>
          <w:sz w:val="22"/>
        </w:rPr>
        <w:t>AGREEMENT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NOW, THEREFORE, in consideration of the foregoing, the terms and conditions set forth in this Agreement, and other good and valuable consideration, the receipt and sufficiency of which are hereby acknowledged, Agent, Lenders, Borrowers and Holdings hereby agree as follows: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1" w:after="283"/>
        <w:jc w:val="both"/>
        <w:rPr/>
      </w:pPr>
      <w:r>
        <w:rPr>
          <w:rFonts w:ascii="Times New Roman" w:hAnsi="Times New Roman"/>
          <w:b/>
          <w:color w:val="000000"/>
          <w:sz w:val="22"/>
          <w:u w:val="single"/>
        </w:rPr>
        <w:t>Recitals</w:t>
      </w:r>
      <w:r>
        <w:rPr>
          <w:rFonts w:ascii="Times New Roman" w:hAnsi="Times New Roman"/>
          <w:color w:val="000000"/>
          <w:sz w:val="22"/>
        </w:rPr>
        <w:t>. This Agreement shall constitute a Financing Document and the Recitals and each reference to the Credit Agreement, 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pPr>
      <w:r>
        <w:rPr>
          <w:rFonts w:ascii="Times New Roman" w:hAnsi="Times New Roman"/>
          <w:b/>
          <w:color w:val="000000"/>
          <w:sz w:val="22"/>
          <w:u w:val="single"/>
        </w:rPr>
        <w:t>Amendments to Existing Credit Agreement</w:t>
      </w:r>
      <w:r>
        <w:rPr>
          <w:rFonts w:ascii="Times New Roman" w:hAnsi="Times New Roman"/>
          <w:color w:val="000000"/>
          <w:sz w:val="22"/>
        </w:rPr>
        <w:t xml:space="preserve">. Subject to the terms and conditions of this Amendment, including, without limitation, the satisfaction of the conditions set forth in </w:t>
      </w:r>
      <w:r>
        <w:rPr>
          <w:rFonts w:ascii="Times New Roman" w:hAnsi="Times New Roman"/>
          <w:color w:val="000000"/>
          <w:sz w:val="22"/>
          <w:u w:val="single"/>
        </w:rPr>
        <w:t>Section 4</w:t>
      </w:r>
      <w:r>
        <w:rPr>
          <w:color w:val="000000"/>
        </w:rPr>
        <w:t xml:space="preserve"> </w:t>
      </w:r>
      <w:r>
        <w:rPr>
          <w:rFonts w:ascii="Times New Roman" w:hAnsi="Times New Roman"/>
          <w:color w:val="000000"/>
          <w:sz w:val="22"/>
        </w:rPr>
        <w:t>hereof, the Existing Credit Agreement is hereby amended as follows: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Section 1.1 of the Existing Credit Agreement is hereby amended to add the following definition in the appropriate alphabetical order therein:</w:t>
      </w:r>
    </w:p>
    <w:p>
      <w:pPr>
        <w:pStyle w:val="TextBody"/>
        <w:bidi w:val="0"/>
        <w:spacing w:before="239" w:after="283"/>
        <w:jc w:val="both"/>
        <w:rPr/>
      </w:pPr>
      <w:r>
        <w:rPr>
          <w:color w:val="000000"/>
        </w:rPr>
        <w:t>“</w:t>
      </w:r>
      <w:r>
        <w:rPr>
          <w:rFonts w:ascii="Times New Roman" w:hAnsi="Times New Roman"/>
          <w:b/>
          <w:color w:val="000000"/>
          <w:sz w:val="22"/>
        </w:rPr>
        <w:t>Tenth Amendment</w:t>
      </w:r>
      <w:r>
        <w:rPr>
          <w:rFonts w:ascii="Times New Roman" w:hAnsi="Times New Roman"/>
          <w:color w:val="000000"/>
          <w:sz w:val="20"/>
        </w:rPr>
        <w:t xml:space="preserve">” </w:t>
      </w:r>
      <w:r>
        <w:rPr>
          <w:rFonts w:ascii="Times New Roman" w:hAnsi="Times New Roman"/>
          <w:color w:val="000000"/>
          <w:sz w:val="22"/>
        </w:rPr>
        <w:t>means that certain Amendment No. 10 to Credit, Security and Guaranty Agreement, dated as of July 29, 2026, by and among the Borrowers, Holdings, Agent and the Lenders.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Section 1.1 of the Existing Credit Agreement is hereby amended by amending and restating the definition of “Financing Documents” in its entirety as follows:</w:t>
      </w:r>
    </w:p>
    <w:p>
      <w:pPr>
        <w:pStyle w:val="TextBody"/>
        <w:bidi w:val="0"/>
        <w:spacing w:before="241" w:after="283"/>
        <w:jc w:val="both"/>
        <w:rPr/>
      </w:pPr>
      <w:r>
        <w:rPr>
          <w:color w:val="000000"/>
        </w:rPr>
        <w:t>“</w:t>
      </w:r>
      <w:r>
        <w:rPr>
          <w:rFonts w:ascii="Times New Roman" w:hAnsi="Times New Roman"/>
          <w:b/>
          <w:color w:val="000000"/>
          <w:sz w:val="22"/>
        </w:rPr>
        <w:t>Financing Documents</w:t>
      </w:r>
      <w:r>
        <w:rPr>
          <w:rFonts w:ascii="Times New Roman" w:hAnsi="Times New Roman"/>
          <w:color w:val="000000"/>
          <w:sz w:val="20"/>
        </w:rPr>
        <w:t xml:space="preserve">” </w:t>
      </w:r>
      <w:r>
        <w:rPr>
          <w:rFonts w:ascii="Times New Roman" w:hAnsi="Times New Roman"/>
          <w:color w:val="000000"/>
          <w:sz w:val="22"/>
        </w:rPr>
        <w:t>means this Agreement, the First Amendment, the Second Amendment, the Third Amendment, the Fourth Amendment, the Fifth Amendment, the Sixth Amendment, the Seventh Amendment, the Eighth Amendment, the Ninth Amendment, the Tenth Amendment, each Intercreditor Agreement, any Notes, the Agent Fee Letter, the Security Documents, each Subordination Agreement and any other subordination or intercreditor agreement pursuant to which any Debt and/or any Liens securing such Debt is subordinated to all or any portion of the Obligations and all other documents, instruments and agreements related to the Obligations and heretofore executed, executed concurrently herewith or executed at any time and from time to time hereafter, as any or all of the same may be amended, supplemented, restated or otherwise modified from time to time.</w:t>
      </w:r>
    </w:p>
    <w:p>
      <w:pPr>
        <w:pStyle w:val="TextBody"/>
        <w:bidi w:val="0"/>
        <w:spacing w:before="238"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38" w:after="283"/>
        <w:jc w:val="left"/>
        <w:rPr>
          <w:rFonts w:ascii="Times New Roman" w:hAnsi="Times New Roman"/>
          <w:color w:val="000000"/>
          <w:sz w:val="22"/>
        </w:rPr>
      </w:pPr>
      <w:r>
        <w:rPr>
          <w:rFonts w:ascii="Times New Roman" w:hAnsi="Times New Roman"/>
          <w:color w:val="000000"/>
          <w:sz w:val="22"/>
        </w:rPr>
        <w:t>Section 6.1 of the Existing Credit Agreement is hereby amended by replacing the reference to “July 2, 2027” therein with “October 2, 2027”.</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Section 7.2(g) of the Existing Credit agreement is hereby amended by replacing the reference to “July 2, 2027” therein with “October 2, 2027”.</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3.</w:t>
      </w:r>
    </w:p>
    <w:p>
      <w:pPr>
        <w:pStyle w:val="TextBody"/>
        <w:bidi w:val="0"/>
        <w:spacing w:before="240" w:after="283"/>
        <w:jc w:val="left"/>
        <w:rPr/>
      </w:pPr>
      <w:r>
        <w:rPr>
          <w:rFonts w:ascii="Times New Roman" w:hAnsi="Times New Roman"/>
          <w:b/>
          <w:color w:val="000000"/>
          <w:sz w:val="22"/>
          <w:u w:val="single"/>
        </w:rPr>
        <w:t>Representations and Warranties; Reaffirmation of Security Interest; No Liens</w:t>
      </w:r>
      <w:r>
        <w:rPr>
          <w:rFonts w:ascii="Times New Roman" w:hAnsi="Times New Roman"/>
          <w:color w:val="000000"/>
          <w:sz w:val="22"/>
        </w:rPr>
        <w: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Each Credit Party hereby confirms that all of the representations and warranties set forth in the Credit Agreement are true and correct in all material respects (without duplication of any materiality qualifier in the text of such representation or warranty) with respect to such Credit Party as of the date hereof except to the extent that any such representation or warranty relates to a specific date in which case such representation or warranty shall be true and correct as of such earlier date. Nothing herein is intended to impair or limit the validity, priority or extent of Agent’s security interests in and Liens on the Collateral.</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Each Credit Party acknowledges and agrees that the Credit Agreement, the other Financing Documents and this Agreement constitute the legal, valid and binding obligation of such Credit Party, and are enforceable against such Credit Party in accordance with its terms, except as the enforceability thereof may be limited by bankruptcy, insolvency or other similar laws relating to the enforcement of creditors’ rights generally and by general equitable principles.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hereby confirms that as of the Tenth Amendment Effective Date, no Liens exist other than Permitted Liens.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40" w:after="283"/>
        <w:jc w:val="both"/>
        <w:rPr/>
      </w:pPr>
      <w:r>
        <w:rPr>
          <w:rFonts w:ascii="Times New Roman" w:hAnsi="Times New Roman"/>
          <w:b/>
          <w:color w:val="000000"/>
          <w:sz w:val="22"/>
          <w:u w:val="single"/>
        </w:rPr>
        <w:t>Conditions to Effectiveness</w:t>
      </w:r>
      <w:r>
        <w:rPr>
          <w:rFonts w:ascii="Times New Roman" w:hAnsi="Times New Roman"/>
          <w:b/>
          <w:color w:val="000000"/>
          <w:sz w:val="22"/>
        </w:rPr>
        <w:t xml:space="preserve">. </w:t>
      </w:r>
      <w:r>
        <w:rPr>
          <w:rFonts w:ascii="Times New Roman" w:hAnsi="Times New Roman"/>
          <w:color w:val="000000"/>
          <w:sz w:val="22"/>
        </w:rPr>
        <w:t>This Agreement shall become effective as of the date on which each of the following conditions has been satisfied, as determined by Agent and the Lenders in their sole discretion:</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Agent and the Lenders shall have received a copy of this Agreement, dated as of even date herewith, duly-executed by each Credit Party, Agent and the Lenders.</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all representations and warranties of Credit Party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as of such earlier date (and such parties’ delivery of their respective signatures hereto shall be deemed to be its certification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prior to and after giving effect to the agreements set forth herein, no Default or Event of Default shall exist under any of the Financing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Credit Parties shall have delivered such other documents, information, certificates, records, permits, and filings as the Agent and the Lenders may reasonably request;</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the Borrowers shall have paid the Agent’s outstanding Admin Fee (as defined in the Agent Fee Letter); and</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payment of all fees, expenses and other amounts due and payable under the Credit Agreement, including all reasonable and documented legal fees and expenses of Agent and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0" w:after="283"/>
        <w:jc w:val="both"/>
        <w:rPr/>
      </w:pPr>
      <w:r>
        <w:rPr>
          <w:rFonts w:ascii="Times New Roman" w:hAnsi="Times New Roman"/>
          <w:b/>
          <w:color w:val="000000"/>
          <w:sz w:val="22"/>
          <w:u w:val="single"/>
        </w:rPr>
        <w:t>Costs and Fees</w:t>
      </w:r>
      <w:r>
        <w:rPr>
          <w:rFonts w:ascii="Times New Roman" w:hAnsi="Times New Roman"/>
          <w:color w:val="000000"/>
          <w:sz w:val="22"/>
        </w:rPr>
        <w:t>. Credit Parties shall be responsible for the payment of all reasonable, documented and invoiced out-of-pocket costs and fees of counsel and other advisors of the Lenders incurred in connection with the preparation, negotiation, execution and delivery of this Agreement and any related Financing Documents.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6.</w:t>
      </w:r>
    </w:p>
    <w:p>
      <w:pPr>
        <w:pStyle w:val="TextBody"/>
        <w:bidi w:val="0"/>
        <w:spacing w:before="240" w:after="283"/>
        <w:jc w:val="left"/>
        <w:rPr/>
      </w:pPr>
      <w:r>
        <w:rPr>
          <w:rFonts w:ascii="Times New Roman" w:hAnsi="Times New Roman"/>
          <w:b/>
          <w:color w:val="000000"/>
          <w:sz w:val="22"/>
          <w:u w:val="single"/>
        </w:rPr>
        <w:t>Release</w:t>
      </w:r>
      <w:r>
        <w:rPr>
          <w:rFonts w:ascii="Times New Roman" w:hAnsi="Times New Roman"/>
          <w:b/>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In consideration of, among other things, Agent’s and the Lenders’ execution and delivery of this Agreement, each Borrower and each other Credit Party, on behalf of itself and its agents, representatives, officers, directors, advisors, employees, subsidiaries, affiliates, successors and assigns (collectively, “</w:t>
      </w:r>
      <w:r>
        <w:rPr>
          <w:rFonts w:ascii="Times New Roman" w:hAnsi="Times New Roman"/>
          <w:b/>
          <w:color w:val="000000"/>
          <w:sz w:val="22"/>
        </w:rPr>
        <w:t>Releasors</w:t>
      </w:r>
      <w:r>
        <w:rPr>
          <w:color w:val="000000"/>
        </w:rPr>
        <w:t>”</w:t>
      </w:r>
      <w:r>
        <w:rPr>
          <w:rFonts w:ascii="Times New Roman" w:hAnsi="Times New Roman"/>
          <w:color w:val="000000"/>
          <w:sz w:val="22"/>
        </w:rPr>
        <w:t>), hereby forever agrees and covenants not to sue or prosecute against any Releasee (as hereinafter defined) and hereby forever waives, releases and discharges, to the fullest extent permitted by law, each Releasee from any and all claims, whether known or unknown, (including, without limitation, crossclaims, counterclaims, rights of set-off and recoupment), actions, causes of action, suits, debts, accounts, interests, liens, promises, warranties, damages and consequential damages, demands, agreements, bonds, bills, specialties, covenants, controversies, variances, trespasses, judgments, executions, costs, expenses or claims whatsoever, that such Releasor now has or hereafter may have, of whatsoever nature and kind, whether known or unknown, whether now existing or hereafter arising, whether arising at law or in equity (collectively, the “</w:t>
      </w:r>
      <w:r>
        <w:rPr>
          <w:rFonts w:ascii="Times New Roman" w:hAnsi="Times New Roman"/>
          <w:b/>
          <w:color w:val="000000"/>
          <w:sz w:val="22"/>
        </w:rPr>
        <w:t>Claims</w:t>
      </w:r>
      <w:r>
        <w:rPr>
          <w:color w:val="000000"/>
        </w:rPr>
        <w:t>”</w:t>
      </w:r>
      <w:r>
        <w:rPr>
          <w:rFonts w:ascii="Times New Roman" w:hAnsi="Times New Roman"/>
          <w:color w:val="000000"/>
          <w:sz w:val="22"/>
        </w:rPr>
        <w:t>), against any or all of the Agent and Lenders in any capacity and their respective affiliates, subsidiaries, shareholders and “controlling persons” (within the meaning of the federal securities laws), and their respective successors and assigns and each and all of the officers, directors, employees, agents, attorneys, advisors and other representatives of each of the foregoing (collectively, the “</w:t>
      </w:r>
      <w:r>
        <w:rPr>
          <w:rFonts w:ascii="Times New Roman" w:hAnsi="Times New Roman"/>
          <w:b/>
          <w:color w:val="000000"/>
          <w:sz w:val="22"/>
        </w:rPr>
        <w:t>Releasees</w:t>
      </w:r>
      <w:r>
        <w:rPr>
          <w:color w:val="000000"/>
        </w:rPr>
        <w:t>”</w:t>
      </w:r>
      <w:r>
        <w:rPr>
          <w:rFonts w:ascii="Times New Roman" w:hAnsi="Times New Roman"/>
          <w:color w:val="000000"/>
          <w:sz w:val="22"/>
        </w:rPr>
        <w:t>), based in whole or in part on facts, whether or not now known that relate to, arise out of or otherwise are in connection with: (i) any or all of the Financing Documents, including this Agreement, the AECOM L/C (as defined in the Ares First Lien Guaranty) or transactions contemplated thereby or any actions or omissions in connection therewith, and (ii) any aspect of the dealings or relationships between or among Borrowers and the other Credit Parties, on the one hand, and any or all of the Agent and Lenders, on the other hand, relating to any or all of the documents, transactions, actions or omissions referenced in clause (i) hereof. The receipt by a Borrower or any other Credit Party of any</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Loans or financial accommodations made by any Lender after the date hereof shall constitute a ratification, adoption, and confirmation by such party of the foregoing general release of all Claims against the Releasees that are based in whole or in part on facts, whether or not now known or unknown, existing on or prior to the date of receipt of any Loans or other financial accommodations. In entering into this Agreement, Borrowers and each other Credit Party consulted with, and has been represented by, legal counsel and expressly disclaims any reliance on any representations, acts or omissions by any of the Releasees and hereby agrees and acknowledges that the validity and effectiveness of the releases set forth above do not depend in any way on any such representations, acts and/or omissions or the accuracy, completeness or validity thereof. The provisions of this Section shall survive the termination of this Agreement, the Credit Agreement, the other Financing Documents and payment in full of the Obligations.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Each Borrower and each other Credit Party hereby agrees that it shall be, jointly and severally, obligated to indemnify and hold the Releasees harmless with respect to any and all liabilities, obligations, losses, penalties, actions, judgments, suits, costs, expenses or disbursements of any kind or nature whatsoever incurred by the Releasees, or any of them, whether direct, indirect or consequential, as a result of or arising from or relating to any proceeding by or on behalf of any Person, including, without limitation, the respective officers, directors, agents, trustees, creditors, partners or shareholders of any Borrower, any other Credit Party, or any of their respective Subsidiaries, whether threatened or initiated, in respect of any claim for legal or equitable remedy under any statue, regulation or common law principle arising from or in connection with the negotiation, preparation, execution, delivery, performance, administration and enforcement of the Credit Agreement, the other Financing Documents, this Agreement or any other document executed and/or delivered in connection herewith or therewith. If and to the extent that the foregoing undertaking may be unenforceable for any reason, each Borrower and other Credit Party agrees to make the maximum contribution to the payment and satisfaction thereof that is permissible under applicable law. The foregoing indemnity shall survive the termination of this Agreement, the Credit Agreement, the other Financing Documents and the payment in full of the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Each Borrower and each other Credit Party, on behalf of itself and its successors, assigns, and other legal representatives, hereby absolutely, unconditionally and irrevocably, covenants and agrees with and in favor of each Releasee that it will not sue (at law, in equity, in any regulatory proceeding or otherwise) any Releasee on the basis of any Claim released, remised and discharged by Borrower or any other Credit Party pursuant to </w:t>
      </w:r>
      <w:r>
        <w:rPr>
          <w:rFonts w:ascii="Times New Roman" w:hAnsi="Times New Roman"/>
          <w:color w:val="000000"/>
          <w:sz w:val="22"/>
          <w:u w:val="single"/>
        </w:rPr>
        <w:t>Section 6(a)</w:t>
      </w:r>
      <w:r>
        <w:rPr>
          <w:color w:val="000000"/>
        </w:rPr>
        <w:t xml:space="preserve"> </w:t>
      </w:r>
      <w:r>
        <w:rPr>
          <w:rFonts w:ascii="Times New Roman" w:hAnsi="Times New Roman"/>
          <w:color w:val="000000"/>
          <w:sz w:val="22"/>
        </w:rPr>
        <w:t>hereof. If a Borrower, any other Credit Party or any of their successors, assigns or other legal representatives violates the foregoing covenant, Borrowers and the other Credit Parties, each for itself and its successors, assigns and legal representatives, agrees to pay, in addition to such other damages as any Releasee may sustain as a result of such violation, all attorneys’ fees and costs incurred by any Releasee as a result of such violation.</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7.</w:t>
      </w:r>
    </w:p>
    <w:p>
      <w:pPr>
        <w:pStyle w:val="TextBody"/>
        <w:bidi w:val="0"/>
        <w:spacing w:before="241" w:after="283"/>
        <w:jc w:val="both"/>
        <w:rPr/>
      </w:pPr>
      <w:r>
        <w:rPr>
          <w:rFonts w:ascii="Times New Roman" w:hAnsi="Times New Roman"/>
          <w:b/>
          <w:color w:val="000000"/>
          <w:sz w:val="22"/>
          <w:u w:val="single"/>
        </w:rPr>
        <w:t>No Waiver or Novation</w:t>
      </w:r>
      <w:r>
        <w:rPr>
          <w:rFonts w:ascii="Times New Roman" w:hAnsi="Times New Roman"/>
          <w:b/>
          <w:color w:val="000000"/>
          <w:sz w:val="22"/>
        </w:rPr>
        <w:t xml:space="preserve">. </w:t>
      </w:r>
      <w:r>
        <w:rPr>
          <w:rFonts w:ascii="Times New Roman" w:hAnsi="Times New Roman"/>
          <w:color w:val="000000"/>
          <w:sz w:val="22"/>
        </w:rPr>
        <w:t>The execution, delivery and effectiveness of this Agreement shall not, except as expressly provided in this 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8. </w:t>
      </w:r>
      <w:r>
        <w:rPr>
          <w:rFonts w:ascii="Times New Roman" w:hAnsi="Times New Roman"/>
          <w:b/>
          <w:color w:val="000000"/>
          <w:sz w:val="22"/>
          <w:u w:val="single"/>
        </w:rPr>
        <w:t>Affirmation</w:t>
      </w:r>
      <w:r>
        <w:rPr>
          <w:rFonts w:ascii="Times New Roman" w:hAnsi="Times New Roman"/>
          <w:color w:val="000000"/>
          <w:sz w:val="22"/>
        </w:rPr>
        <w:t>. Except as specifically amended pursuant to the terms hereof, each Credit Party hereby acknowledges and agrees that the Credit Agreement and all other Financing Documents (and all covenants, terms, conditions and agreements therein) shall remain in full force and effect, and are hereby ratified and confirmed in all respects by such Credit Party. Each Credit Party covenants and agrees to comply with all of the terms, covenants and conditions of the Credit Agreement and the Financing</w:t>
      </w:r>
      <w:r>
        <w:rPr>
          <w:rFonts w:ascii="Times New Roman" w:hAnsi="Times New Roman"/>
          <w:color w:val="000000"/>
          <w:sz w:val="20"/>
        </w:rPr>
        <w:t xml:space="preserve"> </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Documents, notwithstanding any prior course of conduct, waivers, releases or other actions or inactions on Agent’s or any Lender’s part which might otherwise constitute or be construed as a waiver of or amendment to such terms, covenants and conditions.</w:t>
      </w:r>
    </w:p>
    <w:p>
      <w:pPr>
        <w:pStyle w:val="TextBody"/>
        <w:bidi w:val="0"/>
        <w:spacing w:before="239" w:after="283"/>
        <w:jc w:val="left"/>
        <w:rPr>
          <w:rFonts w:ascii="Times New Roman" w:hAnsi="Times New Roman"/>
          <w:sz w:val="20"/>
        </w:rPr>
      </w:pPr>
      <w:r>
        <w:rPr>
          <w:rFonts w:ascii="Times New Roman" w:hAnsi="Times New Roman"/>
          <w:color w:val="000000"/>
          <w:sz w:val="22"/>
        </w:rPr>
        <w:t xml:space="preserve">9. </w:t>
      </w:r>
      <w:r>
        <w:rPr>
          <w:rFonts w:ascii="Times New Roman" w:hAnsi="Times New Roman"/>
          <w:b/>
          <w:color w:val="000000"/>
          <w:sz w:val="22"/>
          <w:u w:val="single"/>
        </w:rPr>
        <w:t>Miscellaneous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Reference to the Effect on the Credit Agreement</w:t>
      </w:r>
      <w:r>
        <w:rPr>
          <w:rFonts w:ascii="Times New Roman" w:hAnsi="Times New Roman"/>
          <w:color w:val="000000"/>
          <w:sz w:val="22"/>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Financing Documents (and all covenants, terms, conditions and agreements therein), shall remain in full force and effect, and are hereby ratified and confirmed in all respects by each Credit Party.</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1" w:after="283"/>
        <w:jc w:val="both"/>
        <w:rPr/>
      </w:pPr>
      <w:r>
        <w:rPr>
          <w:rFonts w:ascii="Times New Roman" w:hAnsi="Times New Roman"/>
          <w:color w:val="000000"/>
          <w:sz w:val="22"/>
          <w:u w:val="single"/>
        </w:rPr>
        <w:t>No Strict Construction</w:t>
      </w:r>
      <w:r>
        <w:rPr>
          <w:rFonts w:ascii="Times New Roman" w:hAnsi="Times New Roman"/>
          <w:color w:val="000000"/>
          <w:sz w:val="22"/>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39" w:after="283"/>
        <w:jc w:val="both"/>
        <w:rPr/>
      </w:pPr>
      <w:r>
        <w:rPr>
          <w:rFonts w:ascii="Times New Roman" w:hAnsi="Times New Roman"/>
          <w:color w:val="000000"/>
          <w:sz w:val="22"/>
          <w:u w:val="single"/>
        </w:rPr>
        <w:t>Governing Law</w:t>
      </w:r>
      <w:r>
        <w:rPr>
          <w:rFonts w:ascii="Times New Roman" w:hAnsi="Times New Roman"/>
          <w:color w:val="000000"/>
          <w:sz w:val="22"/>
        </w:rPr>
        <w:t>. THIS AGREEMENT AND THE LOANS SHALL BE GOVERNED BY, AND CONSTRUED IN ACCORDANCE WITH, THE LAWS OF THE STATE OF NEW YORK EXCEPT TO THE EXTENT THAT UNITED STATES FEDERAL LAW PERMITS ANY LENDER TO CONTRACT FOR, CHARGE, RECEIVE, RESERVE OR TAKE INTEREST AT THE RATE ALLOWED BY THE LAWS OF THE STATE WHERE SUCH LENDER IS LOCATED.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WAIVER OF JURY TRIAL</w:t>
      </w:r>
      <w:r>
        <w:rPr>
          <w:rFonts w:ascii="Times New Roman" w:hAnsi="Times New Roman"/>
          <w:color w:val="000000"/>
          <w:sz w:val="22"/>
        </w:rPr>
        <w:t xml:space="preserve">. (i) EACH PARTY HEREBY IRREVOCABLY AND UNCONDITIONALLY WAIVES, TO THE FULLEST EXTENT PERMITTED BY LAW, TRIAL BY JURY IN ANY LEGAL ACTION OR PROCEEDING RELATING TO THIS AGREEMENT OR ANY OTHER FINANCING DOCUMENT AND FOR ANY COUNTERCLAIM THEREIN; (ii) EACH CREDIT PARTY HEREBY IRREVOCABLY WAIVES, TO THE MAXIMUM EXTENT NOT PROHIBITED BY LAW, ANY RIGHT IT MAY HAVE TO CLAIM OR RECOVER IN ANY SUCH LITIGATION ANY SPECIAL, EXEMPLARY, PUNITIVE OR CONSEQUENTIAL DAMAGES, OR DAMAGES OTHER THAN, OR IN ADDITION TO, ACTUAL DAMAGES; </w:t>
      </w:r>
      <w:r>
        <w:rPr>
          <w:rFonts w:ascii="Times New Roman" w:hAnsi="Times New Roman"/>
          <w:i/>
          <w:color w:val="000000"/>
          <w:sz w:val="22"/>
        </w:rPr>
        <w:t xml:space="preserve">PROVIDED </w:t>
      </w:r>
      <w:r>
        <w:rPr>
          <w:rFonts w:ascii="Times New Roman" w:hAnsi="Times New Roman"/>
          <w:color w:val="000000"/>
          <w:sz w:val="22"/>
        </w:rPr>
        <w:t xml:space="preserve">THAT NOTHING CONTAINED IN THIS </w:t>
      </w:r>
      <w:r>
        <w:rPr>
          <w:rFonts w:ascii="Times New Roman" w:hAnsi="Times New Roman"/>
          <w:color w:val="000000"/>
          <w:sz w:val="22"/>
          <w:u w:val="single"/>
        </w:rPr>
        <w:t>SECTION 9(d)</w:t>
      </w:r>
      <w:r>
        <w:rPr>
          <w:color w:val="000000"/>
        </w:rPr>
        <w:t xml:space="preserve"> </w:t>
      </w:r>
      <w:r>
        <w:rPr>
          <w:rFonts w:ascii="Times New Roman" w:hAnsi="Times New Roman"/>
          <w:color w:val="000000"/>
          <w:sz w:val="22"/>
        </w:rPr>
        <w:t>SHALL LIMIT THE CREDIT PARTIES’ INDEMNIFICATION OBLIGATIONS TO THE EXTENT SET FORTH IN SECTION 11.6 OF THE CREDIT AGREEMENT TO THE EXTENT SUCH SPECIAL, EXEMPLARY, PUNITIVE OR CONSEQUENTIAL DAMAGES ARE INCLUDED IN ANY THIRD PARTY CLAIM IN CONNECTION WITH WHICH SUCH INDEMNITEE IS OTHERWISE ENTITLED TO INDEMNIFICATION HEREUNDER; (iii) EACH PARTY HEREBY CERTIFIES THAT NO PARTY HERETO NOR ANY REPRESENTATIVE OR AGENT OR COUNSEL FOR ANY PARTY HERETO HAS REPRESENTED, EXPRESSLY OR OTHERWISE, OR IMPLIED THAT SUCH PARTY WOULD NOT, IN THE EVENT OF LITIGATION, SEEK TO ENFORCE THE FOREGOING WAIVERS, AND</w:t>
      </w:r>
    </w:p>
    <w:p>
      <w:pPr>
        <w:pStyle w:val="TextBody"/>
        <w:bidi w:val="0"/>
        <w:spacing w:before="1" w:after="283"/>
        <w:jc w:val="both"/>
        <w:rPr>
          <w:rFonts w:ascii="Times New Roman" w:hAnsi="Times New Roman"/>
          <w:sz w:val="20"/>
        </w:rPr>
      </w:pPr>
      <w:r>
        <w:rPr>
          <w:rFonts w:ascii="Times New Roman" w:hAnsi="Times New Roman"/>
          <w:color w:val="000000"/>
          <w:sz w:val="22"/>
        </w:rPr>
        <w:t xml:space="preserve">(iv) EACH PARTY HEREBY ACKNOWLEDGES THAT IT HAS BEEN INDUCED TO ENTER INTO THIS AGREEMENT, THE FINANCING DOCUMENTS AND THE TRANSACTIONS CONTEMPLATED HEREBY AND THEREBY BY, AMONG OTHER THINGS, THE MUTUAL WAIVERS AND CERTIFICATIONS CONTAINED IN THIS </w:t>
      </w:r>
      <w:r>
        <w:rPr>
          <w:rFonts w:ascii="Times New Roman" w:hAnsi="Times New Roman"/>
          <w:color w:val="000000"/>
          <w:sz w:val="22"/>
          <w:u w:val="single"/>
        </w:rPr>
        <w:t>SECTION 9(d)</w:t>
      </w:r>
      <w:r>
        <w:rPr>
          <w:rFonts w:ascii="Times New Roman" w:hAnsi="Times New Roman"/>
          <w:color w:val="000000"/>
          <w:sz w:val="22"/>
        </w:rPr>
        <w:t>.</w:t>
      </w:r>
    </w:p>
    <w:p>
      <w:pPr>
        <w:pStyle w:val="TextBody"/>
        <w:bidi w:val="0"/>
        <w:spacing w:before="239" w:after="283"/>
        <w:jc w:val="right"/>
        <w:rPr>
          <w:rFonts w:ascii="Times New Roman" w:hAnsi="Times New Roman"/>
          <w:color w:val="000000"/>
          <w:sz w:val="22"/>
        </w:rPr>
      </w:pPr>
      <w:r>
        <w:rPr>
          <w:rFonts w:ascii="Times New Roman" w:hAnsi="Times New Roman"/>
          <w:color w:val="000000"/>
          <w:sz w:val="22"/>
        </w:rPr>
        <w:t>(e)</w:t>
      </w:r>
    </w:p>
    <w:p>
      <w:pPr>
        <w:pStyle w:val="TextBody"/>
        <w:bidi w:val="0"/>
        <w:spacing w:before="239" w:after="283"/>
        <w:jc w:val="right"/>
        <w:rPr/>
      </w:pPr>
      <w:r>
        <w:rPr>
          <w:rFonts w:ascii="Times New Roman" w:hAnsi="Times New Roman"/>
          <w:color w:val="000000"/>
          <w:sz w:val="22"/>
          <w:u w:val="single"/>
        </w:rPr>
        <w:t>Incorporation of Credit Agreement Provisions</w:t>
      </w:r>
      <w:r>
        <w:rPr>
          <w:rFonts w:ascii="Times New Roman" w:hAnsi="Times New Roman"/>
          <w:color w:val="000000"/>
          <w:sz w:val="22"/>
        </w:rPr>
        <w:t>. The provisions contained in Section</w:t>
      </w:r>
    </w:p>
    <w:p>
      <w:pPr>
        <w:pStyle w:val="TextBody"/>
        <w:bidi w:val="0"/>
        <w:spacing w:before="80" w:after="283"/>
        <w:jc w:val="left"/>
        <w:rPr>
          <w:rFonts w:ascii="Times New Roman" w:hAnsi="Times New Roman"/>
          <w:sz w:val="20"/>
        </w:rPr>
      </w:pPr>
      <w:r>
        <w:rPr>
          <w:rFonts w:ascii="Times New Roman" w:hAnsi="Times New Roman"/>
          <w:color w:val="000000"/>
          <w:sz w:val="22"/>
        </w:rPr>
        <w:t>11.6 (</w:t>
      </w:r>
      <w:r>
        <w:rPr>
          <w:rFonts w:ascii="Times New Roman" w:hAnsi="Times New Roman"/>
          <w:i/>
          <w:color w:val="000000"/>
          <w:sz w:val="22"/>
        </w:rPr>
        <w:t>Indemnification</w:t>
      </w:r>
      <w:r>
        <w:rPr>
          <w:rFonts w:ascii="Times New Roman" w:hAnsi="Times New Roman"/>
          <w:color w:val="000000"/>
          <w:sz w:val="22"/>
        </w:rPr>
        <w:t>), Section 13.8(b) (</w:t>
      </w:r>
      <w:r>
        <w:rPr>
          <w:rFonts w:ascii="Times New Roman" w:hAnsi="Times New Roman"/>
          <w:i/>
          <w:color w:val="000000"/>
          <w:sz w:val="22"/>
        </w:rPr>
        <w:t>Submission to Jurisdiction</w:t>
      </w:r>
      <w:r>
        <w:rPr>
          <w:rFonts w:ascii="Times New Roman" w:hAnsi="Times New Roman"/>
          <w:color w:val="000000"/>
          <w:sz w:val="22"/>
        </w:rPr>
        <w:t>) and Section 13.19 (</w:t>
      </w:r>
      <w:r>
        <w:rPr>
          <w:rFonts w:ascii="Times New Roman" w:hAnsi="Times New Roman"/>
          <w:i/>
          <w:color w:val="000000"/>
          <w:sz w:val="22"/>
        </w:rPr>
        <w:t>Surety Rights</w:t>
      </w:r>
      <w:r>
        <w:rPr>
          <w:rFonts w:ascii="Times New Roman" w:hAnsi="Times New Roman"/>
          <w:color w:val="000000"/>
          <w:sz w:val="22"/>
        </w:rPr>
        <w:t>) of the Credit Agreement are incorporated herein by reference to the same extent as if reproduced herein in their entirety.</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9" w:after="283"/>
        <w:jc w:val="both"/>
        <w:rPr/>
      </w:pPr>
      <w:r>
        <w:rPr>
          <w:rFonts w:ascii="Times New Roman" w:hAnsi="Times New Roman"/>
          <w:color w:val="000000"/>
          <w:sz w:val="22"/>
          <w:u w:val="single"/>
        </w:rPr>
        <w:t>Headings</w:t>
      </w:r>
      <w:r>
        <w:rPr>
          <w:rFonts w:ascii="Times New Roman" w:hAnsi="Times New Roman"/>
          <w:color w:val="000000"/>
          <w:sz w:val="22"/>
        </w:rPr>
        <w:t>. Headings and captions used in this Agreement (including the Exhibits, Schedules and Annexes hereto, if any) are included for convenience of reference only and shall not be given any substantive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Counterparts; Integration</w:t>
      </w:r>
      <w:r>
        <w:rPr>
          <w:rFonts w:ascii="Times New Roman" w:hAnsi="Times New Roman"/>
          <w:color w:val="000000"/>
          <w:sz w:val="22"/>
        </w:rPr>
        <w:t>. This Agreement may be signed in any 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hAnsi="Times New Roman"/>
          <w:b/>
          <w:color w:val="000000"/>
          <w:sz w:val="22"/>
        </w:rPr>
        <w:t>Electronic Signature</w:t>
      </w:r>
      <w:r>
        <w:rPr>
          <w:color w:val="000000"/>
        </w:rPr>
        <w:t xml:space="preserve">” </w:t>
      </w:r>
      <w:r>
        <w:rPr>
          <w:rFonts w:ascii="Times New Roman" w:hAnsi="Times New Roman"/>
          <w:color w:val="000000"/>
          <w:sz w:val="22"/>
        </w:rPr>
        <w:t>means an electronic sound, symbol, or process attached to, or associated with, a contract or other record and adopted by a Person with the intent to sign, authenticate or accept such contract or other record. This Agreement and the other Financing Documents constitute the entire agreement and understanding among the parties hereto and supersede any and all prior agreements and understandings, oral or written, relating to the subject matter hereof.</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1" w:after="283"/>
        <w:jc w:val="both"/>
        <w:rPr/>
      </w:pPr>
      <w:r>
        <w:rPr>
          <w:rFonts w:ascii="Times New Roman" w:hAnsi="Times New Roman"/>
          <w:color w:val="000000"/>
          <w:sz w:val="22"/>
          <w:u w:val="single"/>
        </w:rPr>
        <w:t>Severability</w:t>
      </w:r>
      <w:r>
        <w:rPr>
          <w:rFonts w:ascii="Times New Roman" w:hAnsi="Times New Roman"/>
          <w:color w:val="000000"/>
          <w:sz w:val="22"/>
        </w:rPr>
        <w:t>. In case any provision of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39" w:after="283"/>
        <w:jc w:val="both"/>
        <w:rPr/>
      </w:pPr>
      <w:r>
        <w:rPr>
          <w:rFonts w:ascii="Times New Roman" w:hAnsi="Times New Roman"/>
          <w:color w:val="000000"/>
          <w:sz w:val="22"/>
          <w:u w:val="single"/>
        </w:rPr>
        <w:t>Time of the Essence</w:t>
      </w:r>
      <w:r>
        <w:rPr>
          <w:rFonts w:ascii="Times New Roman" w:hAnsi="Times New Roman"/>
          <w:color w:val="000000"/>
          <w:sz w:val="22"/>
        </w:rPr>
        <w:t>. Time is of the essence in Borrower’s and each other Credit Party’s performance under this Agreement and all other Financing Documents.</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1" w:after="283"/>
        <w:jc w:val="both"/>
        <w:rPr/>
      </w:pPr>
      <w:r>
        <w:rPr>
          <w:rFonts w:ascii="Times New Roman" w:hAnsi="Times New Roman"/>
          <w:color w:val="000000"/>
          <w:sz w:val="22"/>
          <w:u w:val="single"/>
        </w:rPr>
        <w:t>Successors/Assigns</w:t>
      </w:r>
      <w:r>
        <w:rPr>
          <w:rFonts w:ascii="Times New Roman" w:hAnsi="Times New Roman"/>
          <w:color w:val="000000"/>
          <w:sz w:val="22"/>
        </w:rPr>
        <w:t>. This Agreement shall be binding upon and inure to the benefit of Credit Parties and Agent and each Lender and their respective successors and permitted assigns.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39" w:after="283"/>
        <w:jc w:val="both"/>
        <w:rPr/>
      </w:pPr>
      <w:r>
        <w:rPr>
          <w:rFonts w:ascii="Times New Roman" w:hAnsi="Times New Roman"/>
          <w:color w:val="000000"/>
          <w:sz w:val="22"/>
          <w:u w:val="single"/>
        </w:rPr>
        <w:t>Agent</w:t>
      </w:r>
      <w:r>
        <w:rPr>
          <w:rFonts w:ascii="Times New Roman" w:hAnsi="Times New Roman"/>
          <w:color w:val="000000"/>
          <w:sz w:val="22"/>
        </w:rPr>
        <w:t>. Each of the undersigned Lenders, by their execution of this Agreement, directs the Agent to execute this Agreement. In doing so, the Agent shall be entitled to all rights, benefits and protections set forth in the Credit Agreement.</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[SIGNATURES APPEAR ON FOLLOWING PAGES]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44" w:after="283"/>
        <w:jc w:val="left"/>
        <w:rPr/>
      </w:pPr>
      <w:r>
        <w:rPr/>
        <w:t> </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2"/>
        </w:rPr>
        <w:t>IN WITNESS WHEREOF</w:t>
      </w:r>
      <w:r>
        <w:rPr>
          <w:rFonts w:ascii="Times New Roman" w:hAnsi="Times New Roman"/>
          <w:color w:val="231F20"/>
          <w:sz w:val="22"/>
        </w:rPr>
        <w:t>, intending to be legally bound, each of the parties have caused this Agreement to be executed the day and year first above mentioned.</w:t>
      </w:r>
    </w:p>
    <w:p>
      <w:pPr>
        <w:pStyle w:val="TextBody"/>
        <w:bidi w:val="0"/>
        <w:jc w:val="left"/>
        <w:rPr/>
      </w:pPr>
      <w:r>
        <w:rPr/>
        <w:t> </w:t>
      </w:r>
    </w:p>
    <w:p>
      <w:pPr>
        <w:pStyle w:val="TextBody"/>
        <w:bidi w:val="0"/>
        <w:spacing w:before="227" w:after="283"/>
        <w:jc w:val="left"/>
        <w:rPr/>
      </w:pPr>
      <w:r>
        <w:rPr/>
        <w:t> </w:t>
      </w:r>
    </w:p>
    <w:p>
      <w:pPr>
        <w:pStyle w:val="Heading1"/>
        <w:bidi w:val="0"/>
        <w:jc w:val="left"/>
        <w:rPr>
          <w:rFonts w:ascii="Times New Roman" w:hAnsi="Times New Roman"/>
          <w:color w:val="231F20"/>
          <w:sz w:val="22"/>
        </w:rPr>
      </w:pPr>
      <w:r>
        <w:rPr>
          <w:rFonts w:ascii="Times New Roman" w:hAnsi="Times New Roman"/>
          <w:color w:val="231F20"/>
          <w:sz w:val="22"/>
        </w:rPr>
        <w:t>AGENT: ALTER DOMUS (US) LLC,</w:t>
      </w:r>
    </w:p>
    <w:p>
      <w:pPr>
        <w:pStyle w:val="TextBody"/>
        <w:bidi w:val="0"/>
        <w:spacing w:before="1" w:after="283"/>
        <w:jc w:val="left"/>
        <w:rPr>
          <w:rFonts w:ascii="Times New Roman" w:hAnsi="Times New Roman"/>
          <w:color w:val="231F20"/>
          <w:sz w:val="22"/>
        </w:rPr>
      </w:pPr>
      <w:r>
        <w:rPr>
          <w:rFonts w:ascii="Times New Roman" w:hAnsi="Times New Roman"/>
          <w:color w:val="231F20"/>
          <w:sz w:val="22"/>
        </w:rPr>
        <w:t>as Agent</w:t>
      </w:r>
    </w:p>
    <w:p>
      <w:pPr>
        <w:pStyle w:val="TextBody"/>
        <w:bidi w:val="0"/>
        <w:spacing w:before="239" w:after="283"/>
        <w:jc w:val="left"/>
        <w:rPr/>
      </w:pPr>
      <w:r>
        <w:rPr/>
        <w:t> </w:t>
      </w:r>
    </w:p>
    <w:p>
      <w:pPr>
        <w:pStyle w:val="TextBody"/>
        <w:bidi w:val="0"/>
        <w:jc w:val="left"/>
        <w:rPr>
          <w:rFonts w:ascii="Times New Roman" w:hAnsi="Times New Roman"/>
          <w:sz w:val="20"/>
        </w:rPr>
      </w:pPr>
      <w:r>
        <w:rPr>
          <w:rFonts w:ascii="Times New Roman" w:hAnsi="Times New Roman"/>
          <w:color w:val="231F20"/>
          <w:sz w:val="22"/>
        </w:rPr>
        <w:t xml:space="preserve">By: </w:t>
      </w:r>
      <w:r>
        <w:rPr>
          <w:rFonts w:ascii="Times New Roman" w:hAnsi="Times New Roman"/>
          <w:color w:val="231F20"/>
          <w:sz w:val="22"/>
          <w:u w:val="single"/>
        </w:rPr>
        <w:t>____________</w:t>
      </w:r>
      <w:r>
        <w:rPr>
          <w:rFonts w:ascii="Times New Roman" w:hAnsi="Times New Roman"/>
          <w:color w:val="231F20"/>
          <w:sz w:val="20"/>
        </w:rPr>
        <w:t xml:space="preserve"> </w:t>
      </w:r>
    </w:p>
    <w:p>
      <w:pPr>
        <w:pStyle w:val="TextBody"/>
        <w:bidi w:val="0"/>
        <w:jc w:val="left"/>
        <w:rPr>
          <w:rFonts w:ascii="Times New Roman" w:hAnsi="Times New Roman"/>
          <w:color w:val="231F20"/>
          <w:sz w:val="22"/>
        </w:rPr>
      </w:pPr>
      <w:r>
        <w:rPr>
          <w:rFonts w:ascii="Times New Roman" w:hAnsi="Times New Roman"/>
          <w:color w:val="231F20"/>
          <w:sz w:val="22"/>
        </w:rPr>
        <w:t>Name: Pinju Chiu</w:t>
      </w:r>
    </w:p>
    <w:p>
      <w:pPr>
        <w:pStyle w:val="TextBody"/>
        <w:bidi w:val="0"/>
        <w:spacing w:before="3" w:after="283"/>
        <w:jc w:val="left"/>
        <w:rPr>
          <w:rFonts w:ascii="Times New Roman" w:hAnsi="Times New Roman"/>
          <w:color w:val="231F20"/>
          <w:sz w:val="22"/>
        </w:rPr>
      </w:pPr>
      <w:r>
        <w:rPr>
          <w:rFonts w:ascii="Times New Roman" w:hAnsi="Times New Roman"/>
          <w:color w:val="231F20"/>
          <w:sz w:val="22"/>
        </w:rPr>
        <w:t>Title: Counsel</w:t>
      </w:r>
    </w:p>
    <w:p>
      <w:pPr>
        <w:pStyle w:val="TextBody"/>
        <w:bidi w:val="0"/>
        <w:jc w:val="left"/>
        <w:rPr/>
      </w:pPr>
      <w:r>
        <w:rPr/>
        <w:t> </w:t>
      </w:r>
    </w:p>
    <w:p>
      <w:pPr>
        <w:pStyle w:val="Heading1"/>
        <w:bidi w:val="0"/>
        <w:spacing w:before="80" w:after="283"/>
        <w:jc w:val="left"/>
        <w:rPr>
          <w:rFonts w:ascii="Times New Roman" w:hAnsi="Times New Roman"/>
          <w:color w:val="000000"/>
          <w:sz w:val="22"/>
        </w:rPr>
      </w:pPr>
      <w:r>
        <w:rPr>
          <w:rFonts w:ascii="Times New Roman" w:hAnsi="Times New Roman"/>
          <w:color w:val="000000"/>
          <w:sz w:val="22"/>
        </w:rPr>
        <w:t>LENDERS: AECOM,</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____________</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Name: Morgan Jones</w:t>
      </w:r>
    </w:p>
    <w:p>
      <w:pPr>
        <w:pStyle w:val="TextBody"/>
        <w:bidi w:val="0"/>
        <w:jc w:val="left"/>
        <w:rPr>
          <w:rFonts w:ascii="Times New Roman" w:hAnsi="Times New Roman"/>
          <w:color w:val="000000"/>
          <w:sz w:val="22"/>
        </w:rPr>
      </w:pPr>
      <w:r>
        <w:rPr>
          <w:rFonts w:ascii="Times New Roman" w:hAnsi="Times New Roman"/>
          <w:color w:val="000000"/>
          <w:sz w:val="22"/>
        </w:rPr>
        <w:t>Title: Vice President, Treasurer</w:t>
      </w:r>
    </w:p>
    <w:p>
      <w:pPr>
        <w:pStyle w:val="TextBody"/>
        <w:bidi w:val="0"/>
        <w:jc w:val="left"/>
        <w:rPr/>
      </w:pPr>
      <w:r>
        <w:rPr/>
        <w:t> </w:t>
      </w:r>
    </w:p>
    <w:p>
      <w:pPr>
        <w:pStyle w:val="TextBody"/>
        <w:bidi w:val="0"/>
        <w:jc w:val="left"/>
        <w:rPr/>
      </w:pPr>
      <w:r>
        <w:rPr/>
        <w:t> </w:t>
      </w:r>
    </w:p>
    <w:p>
      <w:pPr>
        <w:pStyle w:val="TextBody"/>
        <w:bidi w:val="0"/>
        <w:spacing w:before="1" w:after="283"/>
        <w:jc w:val="left"/>
        <w:rPr>
          <w:rFonts w:ascii="Times New Roman" w:hAnsi="Times New Roman"/>
          <w:sz w:val="20"/>
        </w:rPr>
      </w:pPr>
      <w:r>
        <w:rPr>
          <w:rFonts w:ascii="Times New Roman" w:hAnsi="Times New Roman"/>
          <w:b/>
          <w:color w:val="000000"/>
          <w:sz w:val="22"/>
        </w:rPr>
        <w:t>LENDERS: BERKSHIRE HATHAWAY SPECIALTY INSURANCE COMPANY</w:t>
      </w:r>
      <w:r>
        <w:rPr>
          <w:rFonts w:ascii="Times New Roman" w:hAnsi="Times New Roman"/>
          <w:color w:val="000000"/>
          <w:sz w:val="22"/>
        </w:rPr>
        <w:t>,</w:t>
      </w:r>
    </w:p>
    <w:p>
      <w:pPr>
        <w:pStyle w:val="TextBody"/>
        <w:bidi w:val="0"/>
        <w:spacing w:before="1" w:after="283"/>
        <w:jc w:val="left"/>
        <w:rPr/>
      </w:pPr>
      <w:r>
        <w:rPr/>
        <w:t> </w:t>
      </w:r>
    </w:p>
    <w:p>
      <w:pPr>
        <w:pStyle w:val="TextBody"/>
        <w:bidi w:val="0"/>
        <w:jc w:val="left"/>
        <w:rPr/>
      </w:pPr>
      <w:r>
        <w:rPr/>
        <w:t> </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By:_______________</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Name: Jeffrey Jubera</w:t>
      </w:r>
    </w:p>
    <w:p>
      <w:pPr>
        <w:pStyle w:val="TextBody"/>
        <w:bidi w:val="0"/>
        <w:jc w:val="left"/>
        <w:rPr>
          <w:rFonts w:ascii="Times New Roman" w:hAnsi="Times New Roman"/>
          <w:color w:val="000000"/>
          <w:sz w:val="22"/>
        </w:rPr>
      </w:pPr>
      <w:r>
        <w:rPr>
          <w:rFonts w:ascii="Times New Roman" w:hAnsi="Times New Roman"/>
          <w:color w:val="000000"/>
          <w:sz w:val="22"/>
        </w:rPr>
        <w:t>Title: VP - Global Surety Claims</w:t>
      </w:r>
    </w:p>
    <w:p>
      <w:pPr>
        <w:pStyle w:val="Heading1"/>
        <w:bidi w:val="0"/>
        <w:spacing w:before="480" w:after="240"/>
        <w:jc w:val="center"/>
        <w:rPr/>
      </w:pPr>
      <w:r>
        <w:rPr/>
        <w:t> </w:t>
      </w:r>
    </w:p>
    <w:p>
      <w:pPr>
        <w:pStyle w:val="TextBody"/>
        <w:bidi w:val="0"/>
        <w:jc w:val="left"/>
        <w:rPr>
          <w:rFonts w:ascii="Times New Roman" w:hAnsi="Times New Roman"/>
          <w:sz w:val="20"/>
        </w:rPr>
      </w:pPr>
      <w:r>
        <w:rPr>
          <w:rFonts w:ascii="Times New Roman" w:hAnsi="Times New Roman"/>
          <w:b/>
          <w:color w:val="1F1F1F"/>
          <w:sz w:val="22"/>
        </w:rPr>
        <w:t xml:space="preserve">BORROWERS: SHIMMICK CONSTRUCTION COMPANY, </w:t>
      </w:r>
      <w:r>
        <w:rPr>
          <w:rFonts w:ascii="Times New Roman" w:hAnsi="Times New Roman"/>
          <w:b/>
          <w:color w:val="313131"/>
          <w:sz w:val="22"/>
        </w:rPr>
        <w:t>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1F1F1F"/>
          <w:sz w:val="22"/>
        </w:rPr>
      </w:pPr>
      <w:r>
        <w:rPr>
          <w:rFonts w:ascii="Times New Roman" w:hAnsi="Times New Roman"/>
          <w:color w:val="1F1F1F"/>
          <w:sz w:val="22"/>
        </w:rPr>
        <w:t>By:____________________________</w:t>
      </w:r>
    </w:p>
    <w:p>
      <w:pPr>
        <w:pStyle w:val="TextBody"/>
        <w:bidi w:val="0"/>
        <w:jc w:val="left"/>
        <w:rPr>
          <w:rFonts w:ascii="Times New Roman" w:hAnsi="Times New Roman"/>
          <w:color w:val="1F1F1F"/>
          <w:sz w:val="22"/>
        </w:rPr>
      </w:pPr>
      <w:r>
        <w:rPr>
          <w:rFonts w:ascii="Times New Roman" w:hAnsi="Times New Roman"/>
          <w:color w:val="1F1F1F"/>
          <w:sz w:val="22"/>
        </w:rPr>
        <w:t>Name: Todd W. Yoder</w:t>
      </w:r>
    </w:p>
    <w:p>
      <w:pPr>
        <w:pStyle w:val="TextBody"/>
        <w:bidi w:val="0"/>
        <w:jc w:val="left"/>
        <w:rPr>
          <w:rFonts w:ascii="Times New Roman" w:hAnsi="Times New Roman"/>
          <w:color w:val="1F1F1F"/>
          <w:sz w:val="22"/>
        </w:rPr>
      </w:pPr>
      <w:r>
        <w:rPr>
          <w:rFonts w:ascii="Times New Roman" w:hAnsi="Times New Roman"/>
          <w:color w:val="1F1F1F"/>
          <w:sz w:val="22"/>
        </w:rPr>
        <w:t>Title: Chief Financial Officer</w:t>
      </w:r>
    </w:p>
    <w:p>
      <w:pPr>
        <w:pStyle w:val="TextBody"/>
        <w:bidi w:val="0"/>
        <w:jc w:val="left"/>
        <w:rPr/>
      </w:pPr>
      <w:r>
        <w:rPr/>
        <w:t> </w:t>
      </w:r>
    </w:p>
    <w:p>
      <w:pPr>
        <w:pStyle w:val="TextBody"/>
        <w:bidi w:val="0"/>
        <w:jc w:val="left"/>
        <w:rPr/>
      </w:pPr>
      <w:r>
        <w:rPr/>
        <w:t> </w:t>
      </w:r>
    </w:p>
    <w:p>
      <w:pPr>
        <w:pStyle w:val="TextBody"/>
        <w:bidi w:val="0"/>
        <w:spacing w:before="1" w:after="283"/>
        <w:jc w:val="left"/>
        <w:rPr>
          <w:rFonts w:ascii="Times New Roman" w:hAnsi="Times New Roman"/>
          <w:b/>
          <w:color w:val="1F1F1F"/>
          <w:sz w:val="22"/>
        </w:rPr>
      </w:pPr>
      <w:r>
        <w:rPr>
          <w:rFonts w:ascii="Times New Roman" w:hAnsi="Times New Roman"/>
          <w:b/>
          <w:color w:val="1F1F1F"/>
          <w:sz w:val="22"/>
        </w:rPr>
        <w:t>RUST CONSTRUCTORS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1F1F1F"/>
          <w:sz w:val="22"/>
        </w:rPr>
      </w:pPr>
      <w:r>
        <w:rPr>
          <w:rFonts w:ascii="Times New Roman" w:hAnsi="Times New Roman"/>
          <w:color w:val="1F1F1F"/>
          <w:sz w:val="22"/>
        </w:rPr>
        <w:t>By: ______________________________</w:t>
      </w:r>
    </w:p>
    <w:p>
      <w:pPr>
        <w:pStyle w:val="TextBody"/>
        <w:bidi w:val="0"/>
        <w:spacing w:before="47" w:after="283"/>
        <w:jc w:val="left"/>
        <w:rPr>
          <w:rFonts w:ascii="Times New Roman" w:hAnsi="Times New Roman"/>
          <w:color w:val="1F1F1F"/>
          <w:sz w:val="22"/>
        </w:rPr>
      </w:pPr>
      <w:r>
        <w:rPr>
          <w:rFonts w:ascii="Times New Roman" w:hAnsi="Times New Roman"/>
          <w:color w:val="1F1F1F"/>
          <w:sz w:val="22"/>
        </w:rPr>
        <w:t>Name: Dylan Ellsworth</w:t>
      </w:r>
    </w:p>
    <w:p>
      <w:pPr>
        <w:pStyle w:val="TextBody"/>
        <w:bidi w:val="0"/>
        <w:spacing w:before="45" w:after="283"/>
        <w:jc w:val="left"/>
        <w:rPr>
          <w:rFonts w:ascii="Times New Roman" w:hAnsi="Times New Roman"/>
          <w:color w:val="1F1F1F"/>
          <w:sz w:val="22"/>
        </w:rPr>
      </w:pPr>
      <w:r>
        <w:rPr>
          <w:rFonts w:ascii="Times New Roman" w:hAnsi="Times New Roman"/>
          <w:color w:val="1F1F1F"/>
          <w:sz w:val="22"/>
        </w:rPr>
        <w:t>Title: Vice President, General Counsel and Secretary</w:t>
      </w:r>
    </w:p>
    <w:p>
      <w:pPr>
        <w:pStyle w:val="TextBody"/>
        <w:bidi w:val="0"/>
        <w:jc w:val="left"/>
        <w:rPr/>
      </w:pPr>
      <w:r>
        <w:rPr/>
        <w:t> </w:t>
      </w:r>
    </w:p>
    <w:p>
      <w:pPr>
        <w:pStyle w:val="TextBody"/>
        <w:bidi w:val="0"/>
        <w:spacing w:before="149" w:after="283"/>
        <w:jc w:val="left"/>
        <w:rPr/>
      </w:pPr>
      <w:r>
        <w:rPr/>
        <w:t> </w:t>
      </w:r>
    </w:p>
    <w:p>
      <w:pPr>
        <w:pStyle w:val="TextBody"/>
        <w:bidi w:val="0"/>
        <w:spacing w:before="1" w:after="283"/>
        <w:jc w:val="left"/>
        <w:rPr>
          <w:rFonts w:ascii="Times New Roman" w:hAnsi="Times New Roman"/>
          <w:b/>
          <w:color w:val="1F1F1F"/>
          <w:sz w:val="22"/>
        </w:rPr>
      </w:pPr>
      <w:r>
        <w:rPr>
          <w:rFonts w:ascii="Times New Roman" w:hAnsi="Times New Roman"/>
          <w:b/>
          <w:color w:val="1F1F1F"/>
          <w:sz w:val="22"/>
        </w:rPr>
        <w:t>THE LEASING CORPORATION</w:t>
      </w:r>
    </w:p>
    <w:p>
      <w:pPr>
        <w:pStyle w:val="TextBody"/>
        <w:bidi w:val="0"/>
        <w:spacing w:before="1" w:after="283"/>
        <w:jc w:val="left"/>
        <w:rPr/>
      </w:pPr>
      <w:r>
        <w:rPr/>
        <w:t> </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2" w:after="283"/>
        <w:jc w:val="center"/>
        <w:rPr>
          <w:rFonts w:ascii="Times New Roman" w:hAnsi="Times New Roman"/>
          <w:color w:val="1F1F1F"/>
          <w:sz w:val="22"/>
        </w:rPr>
      </w:pPr>
      <w:r>
        <w:rPr>
          <w:rFonts w:ascii="Times New Roman" w:hAnsi="Times New Roman"/>
          <w:color w:val="1F1F1F"/>
          <w:sz w:val="22"/>
        </w:rPr>
        <w:t>By:__________________</w:t>
      </w:r>
    </w:p>
    <w:p>
      <w:pPr>
        <w:pStyle w:val="TextBody"/>
        <w:bidi w:val="0"/>
        <w:jc w:val="center"/>
        <w:rPr>
          <w:rFonts w:ascii="Times New Roman" w:hAnsi="Times New Roman"/>
          <w:color w:val="1F1F1F"/>
          <w:sz w:val="22"/>
        </w:rPr>
      </w:pPr>
      <w:r>
        <w:rPr>
          <w:rFonts w:ascii="Times New Roman" w:hAnsi="Times New Roman"/>
          <w:color w:val="1F1F1F"/>
          <w:sz w:val="22"/>
        </w:rPr>
        <w:t>Name: Todd W. Yoder</w:t>
      </w:r>
    </w:p>
    <w:p>
      <w:pPr>
        <w:pStyle w:val="TextBody"/>
        <w:bidi w:val="0"/>
        <w:jc w:val="center"/>
        <w:rPr>
          <w:rFonts w:ascii="Times New Roman" w:hAnsi="Times New Roman"/>
          <w:color w:val="1F1F1F"/>
          <w:sz w:val="22"/>
        </w:rPr>
      </w:pPr>
      <w:r>
        <w:rPr>
          <w:rFonts w:ascii="Times New Roman" w:hAnsi="Times New Roman"/>
          <w:color w:val="1F1F1F"/>
          <w:sz w:val="22"/>
        </w:rPr>
        <w:t>Title: Chief Financial Officer</w:t>
      </w:r>
    </w:p>
    <w:p>
      <w:pPr>
        <w:pStyle w:val="TextBody"/>
        <w:bidi w:val="0"/>
        <w:jc w:val="left"/>
        <w:rPr/>
      </w:pPr>
      <w:r>
        <w:rPr/>
        <w:t> </w:t>
      </w:r>
    </w:p>
    <w:p>
      <w:pPr>
        <w:pStyle w:val="TextBody"/>
        <w:bidi w:val="0"/>
        <w:spacing w:before="125" w:after="283"/>
        <w:jc w:val="left"/>
        <w:rPr/>
      </w:pPr>
      <w:r>
        <w:rPr/>
        <w:t> </w:t>
      </w:r>
    </w:p>
    <w:p>
      <w:pPr>
        <w:pStyle w:val="TextBody"/>
        <w:bidi w:val="0"/>
        <w:spacing w:before="1" w:after="283"/>
        <w:jc w:val="left"/>
        <w:rPr>
          <w:rFonts w:ascii="Times New Roman" w:hAnsi="Times New Roman"/>
          <w:b/>
          <w:color w:val="1F1F1F"/>
          <w:sz w:val="22"/>
        </w:rPr>
      </w:pPr>
      <w:r>
        <w:rPr>
          <w:rFonts w:ascii="Times New Roman" w:hAnsi="Times New Roman"/>
          <w:b/>
          <w:color w:val="1F1F1F"/>
          <w:sz w:val="22"/>
        </w:rPr>
        <w:t>AXIA ELECTRIC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1F1F1F"/>
          <w:sz w:val="22"/>
        </w:rPr>
        <w:t>By:____________________________</w:t>
      </w:r>
      <w:r>
        <w:rPr>
          <w:rFonts w:ascii="Times New Roman" w:hAnsi="Times New Roman"/>
          <w:color w:val="4272E4"/>
          <w:sz w:val="20"/>
          <w:u w:val="single"/>
        </w:rPr>
        <w:t xml:space="preserve"> </w:t>
      </w:r>
      <w:r>
        <w:rPr>
          <w:rFonts w:ascii="Times New Roman" w:hAnsi="Times New Roman"/>
          <w:color w:val="1F1F1F"/>
          <w:sz w:val="22"/>
        </w:rPr>
        <w:t>Name: Todd W. Yoder</w:t>
      </w:r>
    </w:p>
    <w:p>
      <w:pPr>
        <w:pStyle w:val="TextBody"/>
        <w:bidi w:val="0"/>
        <w:spacing w:before="25" w:after="283"/>
        <w:jc w:val="left"/>
        <w:rPr>
          <w:rFonts w:ascii="Times New Roman" w:hAnsi="Times New Roman"/>
          <w:color w:val="1F1F1F"/>
          <w:sz w:val="22"/>
        </w:rPr>
      </w:pPr>
      <w:r>
        <w:rPr>
          <w:rFonts w:ascii="Times New Roman" w:hAnsi="Times New Roman"/>
          <w:color w:val="1F1F1F"/>
          <w:sz w:val="22"/>
        </w:rPr>
        <w:t>Title: Chief Financial Officer</w:t>
      </w:r>
    </w:p>
    <w:p>
      <w:pPr>
        <w:pStyle w:val="TextBody"/>
        <w:bidi w:val="0"/>
        <w:spacing w:before="50" w:after="283"/>
        <w:jc w:val="left"/>
        <w:rPr/>
      </w:pPr>
      <w:r>
        <w:rPr/>
        <w:t> </w:t>
      </w:r>
    </w:p>
    <w:p>
      <w:pPr>
        <w:pStyle w:val="TextBody"/>
        <w:bidi w:val="0"/>
        <w:jc w:val="left"/>
        <w:rPr>
          <w:rFonts w:ascii="Times New Roman" w:hAnsi="Times New Roman"/>
          <w:b/>
          <w:color w:val="1F1F1F"/>
          <w:sz w:val="22"/>
        </w:rPr>
      </w:pPr>
      <w:r>
        <w:rPr>
          <w:rFonts w:ascii="Times New Roman" w:hAnsi="Times New Roman"/>
          <w:b/>
          <w:color w:val="1F1F1F"/>
          <w:sz w:val="22"/>
        </w:rPr>
        <w:t>GUARANTORS: SHIMMICK CORPORATION</w:t>
      </w:r>
    </w:p>
    <w:p>
      <w:pPr>
        <w:pStyle w:val="TextBody"/>
        <w:bidi w:val="0"/>
        <w:jc w:val="left"/>
        <w:rPr/>
      </w:pPr>
      <w:r>
        <w:rPr/>
        <w:t> </w:t>
      </w:r>
    </w:p>
    <w:p>
      <w:pPr>
        <w:pStyle w:val="TextBody"/>
        <w:bidi w:val="0"/>
        <w:spacing w:before="166" w:after="283"/>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1F1F1F"/>
          <w:sz w:val="22"/>
        </w:rPr>
        <w:t>By:____________________________</w:t>
      </w:r>
      <w:r>
        <w:rPr>
          <w:rFonts w:ascii="Times New Roman" w:hAnsi="Times New Roman"/>
          <w:color w:val="4272E4"/>
          <w:sz w:val="20"/>
          <w:u w:val="single"/>
        </w:rPr>
        <w:t xml:space="preserve"> </w:t>
      </w:r>
      <w:r>
        <w:rPr>
          <w:rFonts w:ascii="Times New Roman" w:hAnsi="Times New Roman"/>
          <w:color w:val="1F1F1F"/>
          <w:sz w:val="22"/>
        </w:rPr>
        <w:t>Name: Todd W. Yoder</w:t>
      </w:r>
    </w:p>
    <w:p>
      <w:pPr>
        <w:pStyle w:val="TextBody"/>
        <w:bidi w:val="0"/>
        <w:spacing w:before="25" w:after="283"/>
        <w:jc w:val="left"/>
        <w:rPr>
          <w:rFonts w:ascii="Times New Roman" w:hAnsi="Times New Roman"/>
          <w:color w:val="1F1F1F"/>
          <w:sz w:val="22"/>
        </w:rPr>
      </w:pPr>
      <w:r>
        <w:rPr>
          <w:rFonts w:ascii="Times New Roman" w:hAnsi="Times New Roman"/>
          <w:color w:val="1F1F1F"/>
          <w:sz w:val="22"/>
        </w:rPr>
        <w:t>Title: Chief Financial Officer</w:t>
      </w:r>
    </w:p>
    <w:p>
      <w:pPr>
        <w:pStyle w:val="TextBody"/>
        <w:bidi w:val="0"/>
        <w:jc w:val="left"/>
        <w:rPr/>
      </w:pPr>
      <w:r>
        <w:rPr/>
        <w:t> </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shim-ex31_1.htm"/>
      <w:bookmarkStart w:id="24" w:name="ksshimex31_1"/>
      <w:bookmarkEnd w:id="23"/>
      <w:bookmarkEnd w:id="24"/>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Ural Yal,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10-Q of Shimmick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37" w:type="dxa"/>
        <w:jc w:val="left"/>
        <w:tblInd w:w="0" w:type="dxa"/>
        <w:tblLayout w:type="fixed"/>
        <w:tblCellMar>
          <w:top w:w="28" w:type="dxa"/>
          <w:left w:w="28" w:type="dxa"/>
          <w:bottom w:w="28" w:type="dxa"/>
          <w:right w:w="28" w:type="dxa"/>
        </w:tblCellMar>
      </w:tblPr>
      <w:tblGrid>
        <w:gridCol w:w="1951"/>
        <w:gridCol w:w="109"/>
        <w:gridCol w:w="406"/>
        <w:gridCol w:w="207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Ural Yal</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Ural Yal</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shim-ex31_2.htm"/>
      <w:bookmarkStart w:id="26" w:name="ksshimex31_2"/>
      <w:bookmarkEnd w:id="25"/>
      <w:bookmarkEnd w:id="26"/>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Todd W. Yoder,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10-Q of Shimmick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747" w:type="dxa"/>
        <w:jc w:val="left"/>
        <w:tblInd w:w="0" w:type="dxa"/>
        <w:tblLayout w:type="fixed"/>
        <w:tblCellMar>
          <w:top w:w="28" w:type="dxa"/>
          <w:left w:w="28" w:type="dxa"/>
          <w:bottom w:w="28" w:type="dxa"/>
          <w:right w:w="28" w:type="dxa"/>
        </w:tblCellMar>
      </w:tblPr>
      <w:tblGrid>
        <w:gridCol w:w="1951"/>
        <w:gridCol w:w="109"/>
        <w:gridCol w:w="406"/>
        <w:gridCol w:w="528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W. Yoder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Todd W. Yoder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Chief Financial Officer and Treasurer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shim-ex32_1.htm"/>
      <w:bookmarkStart w:id="28" w:name="ksshimex32_1"/>
      <w:bookmarkEnd w:id="27"/>
      <w:bookmarkEnd w:id="28"/>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Shimmick Corporation (the “Company”) on Form 10-Q for the period ended July 3,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537" w:type="dxa"/>
        <w:jc w:val="left"/>
        <w:tblInd w:w="0" w:type="dxa"/>
        <w:tblLayout w:type="fixed"/>
        <w:tblCellMar>
          <w:top w:w="28" w:type="dxa"/>
          <w:left w:w="28" w:type="dxa"/>
          <w:bottom w:w="28" w:type="dxa"/>
          <w:right w:w="28" w:type="dxa"/>
        </w:tblCellMar>
      </w:tblPr>
      <w:tblGrid>
        <w:gridCol w:w="1951"/>
        <w:gridCol w:w="109"/>
        <w:gridCol w:w="406"/>
        <w:gridCol w:w="207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Ural Yal</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Ural Yal</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shim-ex32_2.htm"/>
      <w:bookmarkStart w:id="30" w:name="ksshimex32_2"/>
      <w:bookmarkEnd w:id="29"/>
      <w:bookmarkEnd w:id="30"/>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Shimmick Corporation (the “Company”) on Form 10-Q for the period ended July 3,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7747" w:type="dxa"/>
        <w:jc w:val="left"/>
        <w:tblInd w:w="0" w:type="dxa"/>
        <w:tblLayout w:type="fixed"/>
        <w:tblCellMar>
          <w:top w:w="28" w:type="dxa"/>
          <w:left w:w="28" w:type="dxa"/>
          <w:bottom w:w="28" w:type="dxa"/>
          <w:right w:w="28" w:type="dxa"/>
        </w:tblCellMar>
      </w:tblPr>
      <w:tblGrid>
        <w:gridCol w:w="1951"/>
        <w:gridCol w:w="109"/>
        <w:gridCol w:w="406"/>
        <w:gridCol w:w="528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W. Yoder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Todd W. Yoder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Chief Financial Officer and Treasurer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24718</Words>
  <Characters>134254</Characters>
  <CharactersWithSpaces>160332</CharactersWithSpaces>
  <Paragraphs>7099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