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660" w:right="1620" w:hanging="3639"/>
        <w:spacing w:after="0" w:line="38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29, 2023</w:t>
      </w:r>
    </w:p>
    <w:p>
      <w:pPr>
        <w:spacing w:after="0" w:line="249" w:lineRule="exact"/>
        <w:rPr>
          <w:sz w:val="24"/>
          <w:szCs w:val="24"/>
          <w:color w:val="auto"/>
        </w:rPr>
      </w:pPr>
    </w:p>
    <w:p>
      <w:pPr>
        <w:ind w:left="4200" w:right="1600" w:hanging="4179"/>
        <w:spacing w:after="0" w:line="380"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12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020" w:type="dxa"/>
            <w:vAlign w:val="bottom"/>
          </w:tcPr>
          <w:p>
            <w:pPr>
              <w:spacing w:after="0"/>
              <w:rPr>
                <w:sz w:val="19"/>
                <w:szCs w:val="19"/>
                <w:color w:val="auto"/>
              </w:rPr>
            </w:pPr>
          </w:p>
        </w:tc>
      </w:tr>
      <w:tr>
        <w:trPr>
          <w:trHeight w:val="229"/>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020" w:type="dxa"/>
            <w:vAlign w:val="bottom"/>
          </w:tcPr>
          <w:p>
            <w:pPr>
              <w:spacing w:after="0"/>
              <w:rPr>
                <w:sz w:val="19"/>
                <w:szCs w:val="19"/>
                <w:color w:val="auto"/>
              </w:rPr>
            </w:pPr>
          </w:p>
        </w:tc>
      </w:tr>
      <w:tr>
        <w:trPr>
          <w:trHeight w:val="252"/>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6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December 15, 2023, the registrant had 25,493,877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“Cautionary Statement Concerning Forward Looking Statements” and “Risk Factors” in the final prospectus (the “Prospectus”) filed November 15, 2023 with the U.S. Securities and Exchange Commission (the “SEC”) pursuant to Rule 424(b)(4) under the Securities Act relating to our Registration Statement on Form S-1 and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spacing w:after="0" w:line="2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prior owner, AECOM, and requirements to make future payments to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defaulting on its contractual obligations to us or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contact backlog,</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and rising inflation and/or interest rates,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environmental laws, compliance with immigration laws, and other regulatory matters, including changes in regulations and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including those related to the war between Russia and Ukraine and the conflict in the Gaza strip.</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1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0" w:type="dxa"/>
            <w:vAlign w:val="bottom"/>
            <w:gridSpan w:val="17"/>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alibri" w:cs="Calibri" w:eastAsia="Calibri" w:hAnsi="Calibri"/>
                <w:sz w:val="14"/>
                <w:szCs w:val="14"/>
                <w:b w:val="1"/>
                <w:bCs w:val="1"/>
                <w:color w:val="auto"/>
              </w:rPr>
              <w:t>September 29,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alibri" w:cs="Calibri" w:eastAsia="Calibri" w:hAnsi="Calibri"/>
                <w:sz w:val="14"/>
                <w:szCs w:val="14"/>
                <w:b w:val="1"/>
                <w:bCs w:val="1"/>
                <w:color w:val="auto"/>
              </w:rPr>
              <w:t>December 30,</w:t>
            </w:r>
          </w:p>
        </w:tc>
      </w:tr>
      <w:tr>
        <w:trPr>
          <w:trHeight w:val="203"/>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88"/>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68"/>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6"/>
        </w:trPr>
        <w:tc>
          <w:tcPr>
            <w:tcW w:w="7760" w:type="dxa"/>
            <w:vAlign w:val="bottom"/>
            <w:tcBorders>
              <w:bottom w:val="single" w:sz="8" w:color="CFF0FC"/>
            </w:tcBorders>
            <w:shd w:val="clear" w:color="auto" w:fill="CFF0FC"/>
          </w:tcPr>
          <w:p>
            <w:pPr>
              <w:ind w:left="3580"/>
              <w:spacing w:after="0" w:line="164" w:lineRule="exact"/>
              <w:rPr>
                <w:sz w:val="20"/>
                <w:szCs w:val="20"/>
                <w:color w:val="auto"/>
              </w:rPr>
            </w:pPr>
            <w:r>
              <w:rPr>
                <w:rFonts w:ascii="Calibri" w:cs="Calibri" w:eastAsia="Calibri" w:hAnsi="Calibri"/>
                <w:sz w:val="14"/>
                <w:szCs w:val="14"/>
                <w:b w:val="1"/>
                <w:bCs w:val="1"/>
                <w:color w:val="auto"/>
              </w:rPr>
              <w:t>ASSETS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r>
      <w:tr>
        <w:trPr>
          <w:trHeight w:val="372"/>
        </w:trPr>
        <w:tc>
          <w:tcPr>
            <w:tcW w:w="7760" w:type="dxa"/>
            <w:vAlign w:val="bottom"/>
          </w:tcPr>
          <w:p>
            <w:pPr>
              <w:ind w:left="20"/>
              <w:spacing w:after="0"/>
              <w:rPr>
                <w:sz w:val="20"/>
                <w:szCs w:val="20"/>
                <w:color w:val="auto"/>
              </w:rPr>
            </w:pPr>
            <w:r>
              <w:rPr>
                <w:rFonts w:ascii="Calibri" w:cs="Calibri" w:eastAsia="Calibri" w:hAnsi="Calibri"/>
                <w:sz w:val="14"/>
                <w:szCs w:val="14"/>
                <w:b w:val="1"/>
                <w:bCs w:val="1"/>
                <w:color w:val="auto"/>
              </w:rPr>
              <w:t>CURRENT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Cash and cash equivalents</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61,862</w:t>
            </w:r>
          </w:p>
        </w:tc>
        <w:tc>
          <w:tcPr>
            <w:tcW w:w="3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77,762</w:t>
            </w:r>
          </w:p>
        </w:tc>
      </w:tr>
      <w:tr>
        <w:trPr>
          <w:trHeight w:val="170"/>
        </w:trPr>
        <w:tc>
          <w:tcPr>
            <w:tcW w:w="7760" w:type="dxa"/>
            <w:vAlign w:val="bottom"/>
          </w:tcPr>
          <w:p>
            <w:pPr>
              <w:ind w:left="160"/>
              <w:spacing w:after="0"/>
              <w:rPr>
                <w:sz w:val="20"/>
                <w:szCs w:val="20"/>
                <w:color w:val="auto"/>
              </w:rPr>
            </w:pPr>
            <w:r>
              <w:rPr>
                <w:rFonts w:ascii="Calibri" w:cs="Calibri" w:eastAsia="Calibri" w:hAnsi="Calibri"/>
                <w:sz w:val="14"/>
                <w:szCs w:val="14"/>
                <w:color w:val="auto"/>
              </w:rPr>
              <w:t>Restricted cash</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1,294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4,323</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Accounts receivable, net</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68,442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56,430</w:t>
            </w:r>
          </w:p>
        </w:tc>
      </w:tr>
      <w:tr>
        <w:trPr>
          <w:trHeight w:val="170"/>
        </w:trPr>
        <w:tc>
          <w:tcPr>
            <w:tcW w:w="7760" w:type="dxa"/>
            <w:vAlign w:val="bottom"/>
          </w:tcPr>
          <w:p>
            <w:pPr>
              <w:ind w:left="160"/>
              <w:spacing w:after="0"/>
              <w:rPr>
                <w:sz w:val="20"/>
                <w:szCs w:val="20"/>
                <w:color w:val="auto"/>
              </w:rPr>
            </w:pPr>
            <w:r>
              <w:rPr>
                <w:rFonts w:ascii="Calibri" w:cs="Calibri" w:eastAsia="Calibri" w:hAnsi="Calibri"/>
                <w:sz w:val="14"/>
                <w:szCs w:val="14"/>
                <w:color w:val="auto"/>
              </w:rPr>
              <w:t>Contract assets, current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123,388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80,901</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8"/>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Prepaids and other current assets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15,704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14,060</w:t>
            </w:r>
          </w:p>
        </w:tc>
      </w:tr>
      <w:tr>
        <w:trPr>
          <w:trHeight w:val="365"/>
        </w:trPr>
        <w:tc>
          <w:tcPr>
            <w:tcW w:w="776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TOTAL CURRENT ASSETS</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270,690</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233,476</w:t>
            </w:r>
          </w:p>
        </w:tc>
      </w:tr>
      <w:tr>
        <w:trPr>
          <w:trHeight w:val="236"/>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Property, plant and equipment, net</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50,114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55,208</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Intangible assets, net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9,888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12,044</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Contract assets, non-current</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51,671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84,024</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Lease right-of-use assets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25,997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22,690</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Investment in unconsolidated joint ventures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27,002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17,363</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Deferred tax assets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18,851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18,851</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2,921</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3,143</w:t>
            </w:r>
          </w:p>
        </w:tc>
      </w:tr>
      <w:tr>
        <w:trPr>
          <w:trHeight w:val="372"/>
        </w:trPr>
        <w:tc>
          <w:tcPr>
            <w:tcW w:w="7760" w:type="dxa"/>
            <w:vAlign w:val="bottom"/>
          </w:tcPr>
          <w:p>
            <w:pPr>
              <w:ind w:left="20"/>
              <w:spacing w:after="0"/>
              <w:rPr>
                <w:sz w:val="20"/>
                <w:szCs w:val="20"/>
                <w:color w:val="auto"/>
              </w:rPr>
            </w:pPr>
            <w:r>
              <w:rPr>
                <w:rFonts w:ascii="Calibri" w:cs="Calibri" w:eastAsia="Calibri" w:hAnsi="Calibri"/>
                <w:sz w:val="14"/>
                <w:szCs w:val="14"/>
                <w:b w:val="1"/>
                <w:bCs w:val="1"/>
                <w:color w:val="auto"/>
              </w:rPr>
              <w:t>TOTAL ASSETS</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457,134</w:t>
            </w:r>
          </w:p>
        </w:tc>
        <w:tc>
          <w:tcPr>
            <w:tcW w:w="3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446,799</w:t>
            </w:r>
          </w:p>
        </w:tc>
      </w:tr>
      <w:tr>
        <w:trPr>
          <w:trHeight w:val="33"/>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7760" w:type="dxa"/>
            <w:vAlign w:val="bottom"/>
            <w:tcBorders>
              <w:bottom w:val="single" w:sz="8" w:color="CFF0FC"/>
            </w:tcBorders>
            <w:shd w:val="clear" w:color="auto" w:fill="CFF0FC"/>
          </w:tcPr>
          <w:p>
            <w:pPr>
              <w:ind w:left="2580"/>
              <w:spacing w:after="0"/>
              <w:rPr>
                <w:sz w:val="20"/>
                <w:szCs w:val="20"/>
                <w:color w:val="auto"/>
              </w:rPr>
            </w:pPr>
            <w:r>
              <w:rPr>
                <w:rFonts w:ascii="Calibri" w:cs="Calibri" w:eastAsia="Calibri" w:hAnsi="Calibri"/>
                <w:sz w:val="14"/>
                <w:szCs w:val="14"/>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r>
      <w:tr>
        <w:trPr>
          <w:trHeight w:val="372"/>
        </w:trPr>
        <w:tc>
          <w:tcPr>
            <w:tcW w:w="7760" w:type="dxa"/>
            <w:vAlign w:val="bottom"/>
          </w:tcPr>
          <w:p>
            <w:pPr>
              <w:ind w:left="20"/>
              <w:spacing w:after="0"/>
              <w:rPr>
                <w:sz w:val="20"/>
                <w:szCs w:val="20"/>
                <w:color w:val="auto"/>
              </w:rPr>
            </w:pPr>
            <w:r>
              <w:rPr>
                <w:rFonts w:ascii="Calibri" w:cs="Calibri" w:eastAsia="Calibri" w:hAnsi="Calibri"/>
                <w:sz w:val="14"/>
                <w:szCs w:val="14"/>
                <w:b w:val="1"/>
                <w:bCs w:val="1"/>
                <w:color w:val="auto"/>
              </w:rPr>
              <w:t>CURRENT LIABILITIES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Accounts payable</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92,063</w:t>
            </w:r>
          </w:p>
        </w:tc>
        <w:tc>
          <w:tcPr>
            <w:tcW w:w="3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67,541</w:t>
            </w:r>
          </w:p>
        </w:tc>
      </w:tr>
      <w:tr>
        <w:trPr>
          <w:trHeight w:val="170"/>
        </w:trPr>
        <w:tc>
          <w:tcPr>
            <w:tcW w:w="7760" w:type="dxa"/>
            <w:vAlign w:val="bottom"/>
          </w:tcPr>
          <w:p>
            <w:pPr>
              <w:ind w:left="160"/>
              <w:spacing w:after="0"/>
              <w:rPr>
                <w:sz w:val="20"/>
                <w:szCs w:val="20"/>
                <w:color w:val="auto"/>
              </w:rPr>
            </w:pPr>
            <w:r>
              <w:rPr>
                <w:rFonts w:ascii="Calibri" w:cs="Calibri" w:eastAsia="Calibri" w:hAnsi="Calibri"/>
                <w:sz w:val="14"/>
                <w:szCs w:val="14"/>
                <w:color w:val="auto"/>
              </w:rPr>
              <w:t>Contract liabilites, current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119,485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163,725</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Accrued salaries, wages and benefts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33,814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36,248</w:t>
            </w:r>
          </w:p>
        </w:tc>
      </w:tr>
      <w:tr>
        <w:trPr>
          <w:trHeight w:val="170"/>
        </w:trPr>
        <w:tc>
          <w:tcPr>
            <w:tcW w:w="7760" w:type="dxa"/>
            <w:vAlign w:val="bottom"/>
          </w:tcPr>
          <w:p>
            <w:pPr>
              <w:ind w:left="160"/>
              <w:spacing w:after="0"/>
              <w:rPr>
                <w:sz w:val="20"/>
                <w:szCs w:val="20"/>
                <w:color w:val="auto"/>
              </w:rPr>
            </w:pPr>
            <w:r>
              <w:rPr>
                <w:rFonts w:ascii="Calibri" w:cs="Calibri" w:eastAsia="Calibri" w:hAnsi="Calibri"/>
                <w:sz w:val="14"/>
                <w:szCs w:val="14"/>
                <w:color w:val="auto"/>
              </w:rPr>
              <w:t>Accrued expenses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38,715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60,758</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8"/>
        </w:trPr>
        <w:tc>
          <w:tcPr>
            <w:tcW w:w="77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Other current liabilites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13,134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12,672</w:t>
            </w:r>
          </w:p>
        </w:tc>
      </w:tr>
      <w:tr>
        <w:trPr>
          <w:trHeight w:val="365"/>
        </w:trPr>
        <w:tc>
          <w:tcPr>
            <w:tcW w:w="776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TOTAL CURRENT LIABILITIES</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297,211</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340,944</w:t>
            </w:r>
          </w:p>
        </w:tc>
      </w:tr>
      <w:tr>
        <w:trPr>
          <w:trHeight w:val="236"/>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Long-term debt, net</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33,407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Lease liabilites, non-current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16,824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14,442</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Contract liabilites, non-current</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2,887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1,846</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Contngent consideraton</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15,673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15,662</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Deferred tax liabilites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18,851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18,851</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Other liabilites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3,898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3,459</w:t>
            </w:r>
          </w:p>
        </w:tc>
      </w:tr>
      <w:tr>
        <w:trPr>
          <w:trHeight w:val="33"/>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LIABILITIES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388,751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395,204</w:t>
            </w:r>
          </w:p>
        </w:tc>
      </w:tr>
      <w:tr>
        <w:trPr>
          <w:trHeight w:val="371"/>
        </w:trPr>
        <w:tc>
          <w:tcPr>
            <w:tcW w:w="7760" w:type="dxa"/>
            <w:vAlign w:val="bottom"/>
          </w:tcPr>
          <w:p>
            <w:pPr>
              <w:ind w:left="20"/>
              <w:spacing w:after="0"/>
              <w:rPr>
                <w:sz w:val="20"/>
                <w:szCs w:val="20"/>
                <w:color w:val="auto"/>
              </w:rPr>
            </w:pPr>
            <w:r>
              <w:rPr>
                <w:rFonts w:ascii="Calibri" w:cs="Calibri" w:eastAsia="Calibri" w:hAnsi="Calibri"/>
                <w:sz w:val="14"/>
                <w:szCs w:val="14"/>
                <w:color w:val="auto"/>
              </w:rPr>
              <w:t>Commitments and Contngencies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6"/>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STOCKHOLDERS' EQUITY</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Common stock, $0.01 par value, 27,386,000 shares authorized as of September 29, 2023</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7760" w:type="dxa"/>
            <w:vAlign w:val="bottom"/>
          </w:tcPr>
          <w:p>
            <w:pPr>
              <w:ind w:left="120"/>
              <w:spacing w:after="0"/>
              <w:rPr>
                <w:sz w:val="20"/>
                <w:szCs w:val="20"/>
                <w:color w:val="auto"/>
              </w:rPr>
            </w:pPr>
            <w:r>
              <w:rPr>
                <w:rFonts w:ascii="Calibri" w:cs="Calibri" w:eastAsia="Calibri" w:hAnsi="Calibri"/>
                <w:sz w:val="14"/>
                <w:szCs w:val="14"/>
                <w:color w:val="auto"/>
              </w:rPr>
              <w:t>and December 30, 2022; 21,918,877 and 21,908,800 shares issued and outstanding as of</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60" w:type="dxa"/>
            <w:vAlign w:val="bottom"/>
          </w:tcPr>
          <w:p>
            <w:pPr>
              <w:ind w:left="120"/>
              <w:spacing w:after="0"/>
              <w:rPr>
                <w:sz w:val="20"/>
                <w:szCs w:val="20"/>
                <w:color w:val="auto"/>
              </w:rPr>
            </w:pPr>
            <w:r>
              <w:rPr>
                <w:rFonts w:ascii="Calibri" w:cs="Calibri" w:eastAsia="Calibri" w:hAnsi="Calibri"/>
                <w:sz w:val="14"/>
                <w:szCs w:val="14"/>
                <w:color w:val="auto"/>
              </w:rPr>
              <w:t>September 29, 2023 and December 30, 2022, respectvely</w:t>
            </w:r>
          </w:p>
        </w:tc>
        <w:tc>
          <w:tcPr>
            <w:tcW w:w="22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219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219</w:t>
            </w:r>
          </w:p>
        </w:tc>
      </w:tr>
      <w:tr>
        <w:trPr>
          <w:trHeight w:val="34"/>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3"/>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Additonal paid-in-capital</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4,901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3,341</w:t>
            </w:r>
          </w:p>
        </w:tc>
      </w:tr>
      <w:tr>
        <w:trPr>
          <w:trHeight w:val="170"/>
        </w:trPr>
        <w:tc>
          <w:tcPr>
            <w:tcW w:w="7760" w:type="dxa"/>
            <w:vAlign w:val="bottom"/>
          </w:tcPr>
          <w:p>
            <w:pPr>
              <w:ind w:left="20"/>
              <w:spacing w:after="0"/>
              <w:rPr>
                <w:sz w:val="20"/>
                <w:szCs w:val="20"/>
                <w:color w:val="auto"/>
              </w:rPr>
            </w:pPr>
            <w:r>
              <w:rPr>
                <w:rFonts w:ascii="Calibri" w:cs="Calibri" w:eastAsia="Calibri" w:hAnsi="Calibri"/>
                <w:sz w:val="14"/>
                <w:szCs w:val="14"/>
                <w:color w:val="auto"/>
              </w:rPr>
              <w:t>Retained earnings</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alibri" w:cs="Calibri" w:eastAsia="Calibri" w:hAnsi="Calibri"/>
                <w:sz w:val="14"/>
                <w:szCs w:val="14"/>
                <w:color w:val="auto"/>
              </w:rPr>
              <w:t>64,013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alibri" w:cs="Calibri" w:eastAsia="Calibri" w:hAnsi="Calibri"/>
                <w:sz w:val="14"/>
                <w:szCs w:val="14"/>
                <w:color w:val="auto"/>
              </w:rPr>
              <w:t>49,083</w:t>
            </w: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8"/>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Non-controlling interests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(750 )</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(1,048 )</w:t>
            </w:r>
          </w:p>
        </w:tc>
      </w:tr>
      <w:tr>
        <w:trPr>
          <w:trHeight w:val="365"/>
        </w:trPr>
        <w:tc>
          <w:tcPr>
            <w:tcW w:w="776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b w:val="1"/>
                <w:bCs w:val="1"/>
                <w:color w:val="auto"/>
              </w:rPr>
              <w:t>TOTAL STOCKHOLDERS' EQUITY</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68,383</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51,595</w:t>
            </w:r>
          </w:p>
        </w:tc>
      </w:tr>
      <w:tr>
        <w:trPr>
          <w:trHeight w:val="34"/>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8"/>
        </w:trPr>
        <w:tc>
          <w:tcPr>
            <w:tcW w:w="77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LIABILITIES AND STOCKHOLDERS' EQUITY</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146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457,134</w:t>
            </w:r>
          </w:p>
        </w:tc>
        <w:tc>
          <w:tcPr>
            <w:tcW w:w="3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446,799</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-5982970</wp:posOffset>
            </wp:positionV>
            <wp:extent cx="93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-4688205</wp:posOffset>
            </wp:positionV>
            <wp:extent cx="93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-3239770</wp:posOffset>
            </wp:positionV>
            <wp:extent cx="93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-556895</wp:posOffset>
            </wp:positionV>
            <wp:extent cx="93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93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4"/>
          </w:tcPr>
          <w:p>
            <w:pPr>
              <w:jc w:val="right"/>
              <w:ind w:right="928"/>
              <w:spacing w:after="0"/>
              <w:rPr>
                <w:sz w:val="20"/>
                <w:szCs w:val="20"/>
                <w:color w:val="auto"/>
              </w:rPr>
            </w:pPr>
            <w:r>
              <w:rPr>
                <w:rFonts w:ascii="Calibri" w:cs="Calibri" w:eastAsia="Calibri" w:hAnsi="Calibri"/>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jc w:val="right"/>
              <w:ind w:right="908"/>
              <w:spacing w:after="0"/>
              <w:rPr>
                <w:sz w:val="20"/>
                <w:szCs w:val="20"/>
                <w:color w:val="auto"/>
              </w:rPr>
            </w:pPr>
            <w:r>
              <w:rPr>
                <w:rFonts w:ascii="Calibri" w:cs="Calibri" w:eastAsia="Calibri" w:hAnsi="Calibri"/>
                <w:sz w:val="14"/>
                <w:szCs w:val="14"/>
                <w:b w:val="1"/>
                <w:bCs w:val="1"/>
                <w:color w:val="auto"/>
              </w:rPr>
              <w:t>Nine Months Ended</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3"/>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08"/>
              <w:spacing w:after="0" w:line="164" w:lineRule="exact"/>
              <w:rPr>
                <w:sz w:val="20"/>
                <w:szCs w:val="20"/>
                <w:color w:val="auto"/>
              </w:rPr>
            </w:pPr>
            <w:r>
              <w:rPr>
                <w:rFonts w:ascii="Calibri" w:cs="Calibri" w:eastAsia="Calibri" w:hAnsi="Calibri"/>
                <w:sz w:val="14"/>
                <w:szCs w:val="14"/>
                <w:b w:val="1"/>
                <w:bCs w:val="1"/>
                <w:color w:val="auto"/>
              </w:rPr>
              <w:t>September 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88"/>
              <w:spacing w:after="0" w:line="164" w:lineRule="exact"/>
              <w:rPr>
                <w:sz w:val="20"/>
                <w:szCs w:val="20"/>
                <w:color w:val="auto"/>
              </w:rPr>
            </w:pPr>
            <w:r>
              <w:rPr>
                <w:rFonts w:ascii="Calibri" w:cs="Calibri" w:eastAsia="Calibri" w:hAnsi="Calibri"/>
                <w:sz w:val="14"/>
                <w:szCs w:val="14"/>
                <w:b w:val="1"/>
                <w:bCs w:val="1"/>
                <w:color w:val="auto"/>
              </w:rPr>
              <w:t>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68"/>
              <w:spacing w:after="0" w:line="164" w:lineRule="exact"/>
              <w:rPr>
                <w:sz w:val="20"/>
                <w:szCs w:val="20"/>
                <w:color w:val="auto"/>
              </w:rPr>
            </w:pPr>
            <w:r>
              <w:rPr>
                <w:rFonts w:ascii="Calibri" w:cs="Calibri" w:eastAsia="Calibri" w:hAnsi="Calibri"/>
                <w:sz w:val="14"/>
                <w:szCs w:val="14"/>
                <w:b w:val="1"/>
                <w:bCs w:val="1"/>
                <w:color w:val="auto"/>
              </w:rPr>
              <w:t>September 29,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68"/>
              <w:spacing w:after="0" w:line="164" w:lineRule="exact"/>
              <w:rPr>
                <w:sz w:val="20"/>
                <w:szCs w:val="20"/>
                <w:color w:val="auto"/>
              </w:rPr>
            </w:pPr>
            <w:r>
              <w:rPr>
                <w:rFonts w:ascii="Calibri" w:cs="Calibri" w:eastAsia="Calibri" w:hAnsi="Calibri"/>
                <w:sz w:val="14"/>
                <w:szCs w:val="14"/>
                <w:b w:val="1"/>
                <w:bCs w:val="1"/>
                <w:color w:val="auto"/>
              </w:rPr>
              <w:t>September 30,</w:t>
            </w:r>
          </w:p>
        </w:tc>
      </w:tr>
      <w:tr>
        <w:trPr>
          <w:trHeight w:val="202"/>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588"/>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588"/>
              <w:spacing w:after="0"/>
              <w:rPr>
                <w:sz w:val="20"/>
                <w:szCs w:val="20"/>
                <w:color w:val="auto"/>
              </w:rPr>
            </w:pPr>
            <w:r>
              <w:rPr>
                <w:rFonts w:ascii="Calibri" w:cs="Calibri" w:eastAsia="Calibri" w:hAnsi="Calibri"/>
                <w:sz w:val="14"/>
                <w:szCs w:val="14"/>
                <w:b w:val="1"/>
                <w:bCs w:val="1"/>
                <w:color w:val="auto"/>
              </w:rPr>
              <w:t>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568"/>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568"/>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w:t>
            </w:r>
          </w:p>
        </w:tc>
        <w:tc>
          <w:tcPr>
            <w:tcW w:w="160" w:type="dxa"/>
            <w:vAlign w:val="bottom"/>
            <w:tcBorders>
              <w:bottom w:val="single" w:sz="8" w:color="CFF0FC"/>
            </w:tcBorders>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175,448</w:t>
            </w:r>
          </w:p>
        </w:tc>
        <w:tc>
          <w:tcPr>
            <w:tcW w:w="30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184,367</w:t>
            </w:r>
          </w:p>
        </w:tc>
        <w:tc>
          <w:tcPr>
            <w:tcW w:w="30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494,744</w:t>
            </w:r>
          </w:p>
        </w:tc>
        <w:tc>
          <w:tcPr>
            <w:tcW w:w="28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477,945</w:t>
            </w:r>
          </w:p>
        </w:tc>
      </w:tr>
      <w:tr>
        <w:trPr>
          <w:trHeight w:val="170"/>
        </w:trPr>
        <w:tc>
          <w:tcPr>
            <w:tcW w:w="4940" w:type="dxa"/>
            <w:vAlign w:val="bottom"/>
          </w:tcPr>
          <w:p>
            <w:pPr>
              <w:ind w:left="20"/>
              <w:spacing w:after="0"/>
              <w:rPr>
                <w:sz w:val="20"/>
                <w:szCs w:val="20"/>
                <w:color w:val="auto"/>
              </w:rPr>
            </w:pPr>
            <w:r>
              <w:rPr>
                <w:rFonts w:ascii="Calibri" w:cs="Calibri" w:eastAsia="Calibri" w:hAnsi="Calibri"/>
                <w:sz w:val="14"/>
                <w:szCs w:val="14"/>
                <w:color w:val="auto"/>
              </w:rPr>
              <w:t>Cost of revenue</w:t>
            </w:r>
          </w:p>
        </w:tc>
        <w:tc>
          <w:tcPr>
            <w:tcW w:w="1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alibri" w:cs="Calibri" w:eastAsia="Calibri" w:hAnsi="Calibri"/>
                <w:sz w:val="14"/>
                <w:szCs w:val="14"/>
                <w:color w:val="auto"/>
              </w:rPr>
              <w:t>158,436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alibri" w:cs="Calibri" w:eastAsia="Calibri" w:hAnsi="Calibri"/>
                <w:sz w:val="14"/>
                <w:szCs w:val="14"/>
                <w:color w:val="auto"/>
              </w:rPr>
              <w:t>171,222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471,967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459,428</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Gross margin</w:t>
            </w:r>
          </w:p>
        </w:tc>
        <w:tc>
          <w:tcPr>
            <w:tcW w:w="16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17,012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13,145</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22,777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18,517</w:t>
            </w:r>
          </w:p>
        </w:tc>
      </w:tr>
      <w:tr>
        <w:trPr>
          <w:trHeight w:val="170"/>
        </w:trPr>
        <w:tc>
          <w:tcPr>
            <w:tcW w:w="4940" w:type="dxa"/>
            <w:vAlign w:val="bottom"/>
          </w:tcPr>
          <w:p>
            <w:pPr>
              <w:ind w:left="20"/>
              <w:spacing w:after="0"/>
              <w:rPr>
                <w:sz w:val="20"/>
                <w:szCs w:val="20"/>
                <w:color w:val="auto"/>
              </w:rPr>
            </w:pPr>
            <w:r>
              <w:rPr>
                <w:rFonts w:ascii="Calibri" w:cs="Calibri" w:eastAsia="Calibri" w:hAnsi="Calibri"/>
                <w:sz w:val="14"/>
                <w:szCs w:val="14"/>
                <w:color w:val="auto"/>
              </w:rPr>
              <w:t>Selling, general and administratve expenses</w:t>
            </w:r>
          </w:p>
        </w:tc>
        <w:tc>
          <w:tcPr>
            <w:tcW w:w="1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alibri" w:cs="Calibri" w:eastAsia="Calibri" w:hAnsi="Calibri"/>
                <w:sz w:val="14"/>
                <w:szCs w:val="14"/>
                <w:color w:val="auto"/>
              </w:rPr>
              <w:t>13,364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alibri" w:cs="Calibri" w:eastAsia="Calibri" w:hAnsi="Calibri"/>
                <w:sz w:val="14"/>
                <w:szCs w:val="14"/>
                <w:color w:val="auto"/>
              </w:rPr>
              <w:t>14,904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45,867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43,833</w:t>
            </w:r>
          </w:p>
        </w:tc>
      </w:tr>
      <w:tr>
        <w:trPr>
          <w:trHeight w:val="33"/>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8"/>
        </w:trPr>
        <w:tc>
          <w:tcPr>
            <w:tcW w:w="4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Amortzaton of intangibles</w:t>
            </w:r>
          </w:p>
        </w:tc>
        <w:tc>
          <w:tcPr>
            <w:tcW w:w="1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658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658</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1,974</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1,974</w:t>
            </w:r>
          </w:p>
        </w:tc>
      </w:tr>
      <w:tr>
        <w:trPr>
          <w:trHeight w:val="163"/>
        </w:trPr>
        <w:tc>
          <w:tcPr>
            <w:tcW w:w="4940" w:type="dxa"/>
            <w:vAlign w:val="bottom"/>
            <w:tcBorders>
              <w:top w:val="single" w:sz="8" w:color="CFF0FC"/>
            </w:tcBorders>
          </w:tcPr>
          <w:p>
            <w:pPr>
              <w:ind w:left="160"/>
              <w:spacing w:after="0" w:line="164" w:lineRule="exact"/>
              <w:rPr>
                <w:sz w:val="20"/>
                <w:szCs w:val="20"/>
                <w:color w:val="auto"/>
              </w:rPr>
            </w:pPr>
            <w:r>
              <w:rPr>
                <w:rFonts w:ascii="Calibri" w:cs="Calibri" w:eastAsia="Calibri" w:hAnsi="Calibri"/>
                <w:sz w:val="14"/>
                <w:szCs w:val="14"/>
                <w:color w:val="auto"/>
              </w:rPr>
              <w:t>Total operatng expenses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14,022</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15,562</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47,841</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45,807</w:t>
            </w:r>
          </w:p>
        </w:tc>
      </w:tr>
      <w:tr>
        <w:trPr>
          <w:trHeight w:val="33"/>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4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Equity in earnings of unconsolidated joint ventures</w:t>
            </w:r>
          </w:p>
        </w:tc>
        <w:tc>
          <w:tcPr>
            <w:tcW w:w="16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2,577</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19,604</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9,570</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58,380</w:t>
            </w:r>
          </w:p>
        </w:tc>
      </w:tr>
      <w:tr>
        <w:trPr>
          <w:trHeight w:val="170"/>
        </w:trPr>
        <w:tc>
          <w:tcPr>
            <w:tcW w:w="4940" w:type="dxa"/>
            <w:vAlign w:val="bottom"/>
          </w:tcPr>
          <w:p>
            <w:pPr>
              <w:ind w:left="20"/>
              <w:spacing w:after="0"/>
              <w:rPr>
                <w:sz w:val="20"/>
                <w:szCs w:val="20"/>
                <w:color w:val="auto"/>
              </w:rPr>
            </w:pPr>
            <w:r>
              <w:rPr>
                <w:rFonts w:ascii="Calibri" w:cs="Calibri" w:eastAsia="Calibri" w:hAnsi="Calibri"/>
                <w:sz w:val="14"/>
                <w:szCs w:val="14"/>
                <w:color w:val="auto"/>
              </w:rPr>
              <w:t>Gain (loss) on sale of assets</w:t>
            </w:r>
          </w:p>
        </w:tc>
        <w:tc>
          <w:tcPr>
            <w:tcW w:w="1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alibri" w:cs="Calibri" w:eastAsia="Calibri" w:hAnsi="Calibri"/>
                <w:sz w:val="14"/>
                <w:szCs w:val="14"/>
                <w:color w:val="auto"/>
              </w:rPr>
              <w:t>30,069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31,749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Income from operatons</w:t>
            </w:r>
          </w:p>
        </w:tc>
        <w:tc>
          <w:tcPr>
            <w:tcW w:w="16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35,636</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17,187</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16,255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31,090</w:t>
            </w:r>
          </w:p>
        </w:tc>
      </w:tr>
      <w:tr>
        <w:trPr>
          <w:trHeight w:val="170"/>
        </w:trPr>
        <w:tc>
          <w:tcPr>
            <w:tcW w:w="4940" w:type="dxa"/>
            <w:vAlign w:val="bottom"/>
          </w:tcPr>
          <w:p>
            <w:pPr>
              <w:ind w:left="20"/>
              <w:spacing w:after="0"/>
              <w:rPr>
                <w:sz w:val="20"/>
                <w:szCs w:val="20"/>
                <w:color w:val="auto"/>
              </w:rPr>
            </w:pPr>
            <w:r>
              <w:rPr>
                <w:rFonts w:ascii="Calibri" w:cs="Calibri" w:eastAsia="Calibri" w:hAnsi="Calibri"/>
                <w:sz w:val="14"/>
                <w:szCs w:val="14"/>
                <w:color w:val="auto"/>
              </w:rPr>
              <w:t>Other expense (income), net</w:t>
            </w:r>
          </w:p>
        </w:tc>
        <w:tc>
          <w:tcPr>
            <w:tcW w:w="1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alibri" w:cs="Calibri" w:eastAsia="Calibri" w:hAnsi="Calibri"/>
                <w:sz w:val="14"/>
                <w:szCs w:val="14"/>
                <w:color w:val="auto"/>
              </w:rPr>
              <w:t>805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alibri" w:cs="Calibri" w:eastAsia="Calibri" w:hAnsi="Calibri"/>
                <w:sz w:val="14"/>
                <w:szCs w:val="14"/>
                <w:color w:val="auto"/>
              </w:rPr>
              <w:t>(677 )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1,068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8,863</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Net income before income tax</w:t>
            </w:r>
          </w:p>
        </w:tc>
        <w:tc>
          <w:tcPr>
            <w:tcW w:w="16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34,831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17,864</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15,187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22,227</w:t>
            </w:r>
          </w:p>
        </w:tc>
      </w:tr>
      <w:tr>
        <w:trPr>
          <w:trHeight w:val="170"/>
        </w:trPr>
        <w:tc>
          <w:tcPr>
            <w:tcW w:w="4940" w:type="dxa"/>
            <w:vAlign w:val="bottom"/>
          </w:tcPr>
          <w:p>
            <w:pPr>
              <w:ind w:left="20"/>
              <w:spacing w:after="0"/>
              <w:rPr>
                <w:sz w:val="20"/>
                <w:szCs w:val="20"/>
                <w:color w:val="auto"/>
              </w:rPr>
            </w:pPr>
            <w:r>
              <w:rPr>
                <w:rFonts w:ascii="Calibri" w:cs="Calibri" w:eastAsia="Calibri" w:hAnsi="Calibri"/>
                <w:sz w:val="14"/>
                <w:szCs w:val="14"/>
                <w:color w:val="auto"/>
              </w:rPr>
              <w:t>Income tax expense</w:t>
            </w:r>
          </w:p>
        </w:tc>
        <w:tc>
          <w:tcPr>
            <w:tcW w:w="1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1,257</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1"/>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Net income</w:t>
            </w:r>
          </w:p>
        </w:tc>
        <w:tc>
          <w:tcPr>
            <w:tcW w:w="1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34,831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17,864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15,187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20,970</w:t>
            </w:r>
          </w:p>
        </w:tc>
      </w:tr>
      <w:tr>
        <w:trPr>
          <w:trHeight w:val="163"/>
        </w:trPr>
        <w:tc>
          <w:tcPr>
            <w:tcW w:w="4940" w:type="dxa"/>
            <w:vAlign w:val="bottom"/>
            <w:tcBorders>
              <w:top w:val="single" w:sz="8" w:color="CFF0FC"/>
            </w:tcBorders>
          </w:tcPr>
          <w:p>
            <w:pPr>
              <w:ind w:left="20"/>
              <w:spacing w:after="0" w:line="164" w:lineRule="exact"/>
              <w:rPr>
                <w:sz w:val="20"/>
                <w:szCs w:val="20"/>
                <w:color w:val="auto"/>
              </w:rPr>
            </w:pPr>
            <w:r>
              <w:rPr>
                <w:rFonts w:ascii="Calibri" w:cs="Calibri" w:eastAsia="Calibri" w:hAnsi="Calibri"/>
                <w:sz w:val="14"/>
                <w:szCs w:val="14"/>
                <w:b w:val="1"/>
                <w:bCs w:val="1"/>
                <w:color w:val="auto"/>
              </w:rPr>
              <w:t>Net income (loss) atributable to non-controlling interests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264</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(102 )</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257</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(706 )</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1"/>
        </w:trPr>
        <w:tc>
          <w:tcPr>
            <w:tcW w:w="494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Net income atributable to Shimmick Corporaton</w:t>
            </w:r>
          </w:p>
        </w:tc>
        <w:tc>
          <w:tcPr>
            <w:tcW w:w="160" w:type="dxa"/>
            <w:vAlign w:val="bottom"/>
            <w:tcBorders>
              <w:bottom w:val="single" w:sz="8" w:color="CFF0FC"/>
            </w:tcBorders>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13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34,567</w:t>
            </w:r>
          </w:p>
        </w:tc>
        <w:tc>
          <w:tcPr>
            <w:tcW w:w="30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17,966</w:t>
            </w:r>
          </w:p>
        </w:tc>
        <w:tc>
          <w:tcPr>
            <w:tcW w:w="30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14,930</w:t>
            </w:r>
          </w:p>
        </w:tc>
        <w:tc>
          <w:tcPr>
            <w:tcW w:w="280" w:type="dxa"/>
            <w:vAlign w:val="bottom"/>
            <w:tcBorders>
              <w:bottom w:val="single" w:sz="8" w:color="CFF0FC"/>
            </w:tcBorders>
            <w:gridSpan w:val="2"/>
            <w:shd w:val="clear" w:color="auto" w:fill="CFF0FC"/>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21,676</w:t>
            </w:r>
          </w:p>
        </w:tc>
      </w:tr>
      <w:tr>
        <w:trPr>
          <w:trHeight w:val="150"/>
        </w:trPr>
        <w:tc>
          <w:tcPr>
            <w:tcW w:w="494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b w:val="1"/>
                <w:bCs w:val="1"/>
                <w:color w:val="auto"/>
              </w:rPr>
              <w:t>Net income atributable to Shimmick Corporaton per common share</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33"/>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4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b w:val="1"/>
                <w:bCs w:val="1"/>
                <w:color w:val="auto"/>
              </w:rPr>
              <w:t>Basic</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Calibri" w:cs="Calibri" w:eastAsia="Calibri" w:hAnsi="Calibri"/>
                <w:sz w:val="14"/>
                <w:szCs w:val="14"/>
                <w:color w:val="auto"/>
                <w:w w:val="83"/>
              </w:rPr>
              <w:t>$</w:t>
            </w:r>
          </w:p>
        </w:tc>
        <w:tc>
          <w:tcPr>
            <w:tcW w:w="134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1.58</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Calibri" w:cs="Calibri" w:eastAsia="Calibri" w:hAnsi="Calibri"/>
                <w:sz w:val="14"/>
                <w:szCs w:val="14"/>
                <w:color w:val="auto"/>
              </w:rPr>
              <w:t>$</w:t>
            </w:r>
          </w:p>
        </w:tc>
        <w:tc>
          <w:tcPr>
            <w:tcW w:w="132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0.82</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0.68</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0.99</w:t>
            </w:r>
          </w:p>
        </w:tc>
      </w:tr>
      <w:tr>
        <w:trPr>
          <w:trHeight w:val="150"/>
        </w:trPr>
        <w:tc>
          <w:tcPr>
            <w:tcW w:w="4940" w:type="dxa"/>
            <w:vAlign w:val="bottom"/>
            <w:tcBorders>
              <w:top w:val="single" w:sz="8" w:color="CFF0FC"/>
            </w:tcBorders>
          </w:tcPr>
          <w:p>
            <w:pPr>
              <w:ind w:left="160"/>
              <w:spacing w:after="0" w:line="151" w:lineRule="exact"/>
              <w:rPr>
                <w:sz w:val="20"/>
                <w:szCs w:val="20"/>
                <w:color w:val="auto"/>
              </w:rPr>
            </w:pPr>
            <w:r>
              <w:rPr>
                <w:rFonts w:ascii="Calibri" w:cs="Calibri" w:eastAsia="Calibri" w:hAnsi="Calibri"/>
                <w:sz w:val="14"/>
                <w:szCs w:val="14"/>
                <w:b w:val="1"/>
                <w:bCs w:val="1"/>
                <w:color w:val="auto"/>
              </w:rPr>
              <w:t>Diluted</w:t>
            </w:r>
          </w:p>
        </w:tc>
        <w:tc>
          <w:tcPr>
            <w:tcW w:w="160" w:type="dxa"/>
            <w:vAlign w:val="bottom"/>
            <w:tcBorders>
              <w:top w:val="single" w:sz="8" w:color="auto"/>
            </w:tcBorders>
          </w:tcPr>
          <w:p>
            <w:pPr>
              <w:jc w:val="right"/>
              <w:ind w:right="8"/>
              <w:spacing w:after="0" w:line="151" w:lineRule="exact"/>
              <w:rPr>
                <w:sz w:val="20"/>
                <w:szCs w:val="20"/>
                <w:color w:val="auto"/>
              </w:rPr>
            </w:pPr>
            <w:r>
              <w:rPr>
                <w:rFonts w:ascii="Calibri" w:cs="Calibri" w:eastAsia="Calibri" w:hAnsi="Calibri"/>
                <w:sz w:val="14"/>
                <w:szCs w:val="14"/>
                <w:color w:val="auto"/>
                <w:w w:val="83"/>
              </w:rPr>
              <w:t>$</w:t>
            </w:r>
          </w:p>
        </w:tc>
        <w:tc>
          <w:tcPr>
            <w:tcW w:w="1340" w:type="dxa"/>
            <w:vAlign w:val="bottom"/>
            <w:tcBorders>
              <w:top w:val="single" w:sz="8" w:color="auto"/>
            </w:tcBorders>
          </w:tcPr>
          <w:p>
            <w:pPr>
              <w:jc w:val="right"/>
              <w:ind w:right="68"/>
              <w:spacing w:after="0" w:line="151" w:lineRule="exact"/>
              <w:rPr>
                <w:sz w:val="20"/>
                <w:szCs w:val="20"/>
                <w:color w:val="auto"/>
              </w:rPr>
            </w:pPr>
            <w:r>
              <w:rPr>
                <w:rFonts w:ascii="Calibri" w:cs="Calibri" w:eastAsia="Calibri" w:hAnsi="Calibri"/>
                <w:sz w:val="14"/>
                <w:szCs w:val="14"/>
                <w:color w:val="auto"/>
              </w:rPr>
              <w:t>1.58</w:t>
            </w: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jc w:val="right"/>
              <w:ind w:right="8"/>
              <w:spacing w:after="0" w:line="151" w:lineRule="exact"/>
              <w:rPr>
                <w:sz w:val="20"/>
                <w:szCs w:val="20"/>
                <w:color w:val="auto"/>
              </w:rPr>
            </w:pPr>
            <w:r>
              <w:rPr>
                <w:rFonts w:ascii="Calibri" w:cs="Calibri" w:eastAsia="Calibri" w:hAnsi="Calibri"/>
                <w:sz w:val="14"/>
                <w:szCs w:val="14"/>
                <w:color w:val="auto"/>
              </w:rPr>
              <w:t>$</w:t>
            </w:r>
          </w:p>
        </w:tc>
        <w:tc>
          <w:tcPr>
            <w:tcW w:w="132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0.82</w:t>
            </w: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jc w:val="right"/>
              <w:ind w:right="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0.68</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jc w:val="right"/>
              <w:ind w:right="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0.99</w:t>
            </w:r>
          </w:p>
        </w:tc>
      </w:tr>
      <w:tr>
        <w:trPr>
          <w:trHeight w:val="33"/>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-1799590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-1799590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-1799590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-736600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-736600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-736600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-462280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-445135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-462280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-445135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-462280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-445135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-179070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-162560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-179070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3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9"/>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20" w:type="dxa"/>
            <w:vAlign w:val="bottom"/>
            <w:tcBorders>
              <w:top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10,077</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21,918,877</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64,013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-770890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-770890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-770890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3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9"/>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July 1, 2022</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49,033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tcBorders>
              <w:top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(102 )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(627 )</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(627 )</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66,999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(901 )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-770890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-770890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-770890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3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9"/>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2022</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20" w:type="dxa"/>
            <w:vAlign w:val="bottom"/>
            <w:tcBorders>
              <w:top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10,077</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(260 )</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21,918,877</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64,013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-1190625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-1190625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-1190625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-1190625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23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0"/>
        </w:trPr>
        <w:tc>
          <w:tcPr>
            <w:tcW w:w="2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3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21,908,800</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219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45,323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47,021</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20,970</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(628 )</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21,908,800</w:t>
            </w:r>
          </w:p>
        </w:tc>
        <w:tc>
          <w:tcPr>
            <w:tcW w:w="1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219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2,822</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66,999</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-770890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-770890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-770890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-770890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8"/>
        </w:trPr>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jc w:val="center"/>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center"/>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r>
      <w:tr>
        <w:trPr>
          <w:trHeight w:val="175"/>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15,187</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20,970</w:t>
            </w:r>
          </w:p>
        </w:tc>
      </w:tr>
      <w:tr>
        <w:trPr>
          <w:trHeight w:val="176"/>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1,776</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13,186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11,856</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(58,380 )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on investment in unconsolidated joint ventures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14,220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54,595</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on sale of assets</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(31,749 )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9,478</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26,630</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Due from unconsolidated joint ventures</w:t>
            </w:r>
          </w:p>
        </w:tc>
        <w:tc>
          <w:tcPr>
            <w:tcW w:w="2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7,316</w:t>
            </w:r>
          </w:p>
        </w:tc>
      </w:tr>
      <w:tr>
        <w:trPr>
          <w:trHeight w:val="176"/>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(36,133 )</w:t>
            </w:r>
          </w:p>
        </w:tc>
      </w:tr>
      <w:tr>
        <w:trPr>
          <w:trHeight w:val="175"/>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24,221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2,883</w:t>
            </w:r>
          </w:p>
        </w:tc>
      </w:tr>
      <w:tr>
        <w:trPr>
          <w:trHeight w:val="176"/>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(41,797 )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(78,105 )</w:t>
            </w:r>
          </w:p>
        </w:tc>
      </w:tr>
      <w:tr>
        <w:trPr>
          <w:trHeight w:val="175"/>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(22,042 )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19,273</w:t>
            </w:r>
          </w:p>
        </w:tc>
      </w:tr>
      <w:tr>
        <w:trPr>
          <w:trHeight w:val="176"/>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(2,073 )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13,216</w:t>
            </w:r>
          </w:p>
        </w:tc>
      </w:tr>
      <w:tr>
        <w:trPr>
          <w:trHeight w:val="175"/>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(4,184 )</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(545 )</w:t>
            </w:r>
          </w:p>
        </w:tc>
      </w:tr>
      <w:tr>
        <w:trPr>
          <w:trHeight w:val="169"/>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(64,776 )</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(5,170 )</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working capital settlement in association with business combination</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32,000</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(8,188 )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34,983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4,162</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Unconsolidated joint venture equity contributions</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(19,709 )</w:t>
            </w:r>
          </w:p>
        </w:tc>
      </w:tr>
      <w:tr>
        <w:trPr>
          <w:trHeight w:val="17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of investment in unconsolidated joint ventures</w:t>
            </w:r>
          </w:p>
        </w:tc>
        <w:tc>
          <w:tcPr>
            <w:tcW w:w="22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3,980</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r>
      <w:tr>
        <w:trPr>
          <w:trHeight w:val="169"/>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13,153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8,751</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finance lease obligation</w:t>
            </w:r>
          </w:p>
        </w:tc>
        <w:tc>
          <w:tcPr>
            <w:tcW w:w="2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(227 )</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borrowings on revolving credit facility</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33,722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(628 )</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(841 )</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9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18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32,694</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(855 )</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(18,929 )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2,726</w:t>
            </w:r>
          </w:p>
        </w:tc>
      </w:tr>
      <w:tr>
        <w:trPr>
          <w:trHeight w:val="175"/>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2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82,085</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81,903</w:t>
            </w:r>
          </w:p>
        </w:tc>
      </w:tr>
      <w:tr>
        <w:trPr>
          <w:trHeight w:val="169"/>
        </w:trPr>
        <w:tc>
          <w:tcPr>
            <w:tcW w:w="69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63,156</w:t>
            </w:r>
          </w:p>
        </w:tc>
        <w:tc>
          <w:tcPr>
            <w:tcW w:w="3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84,629</w:t>
            </w: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9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w:t>
            </w:r>
          </w:p>
        </w:tc>
        <w:tc>
          <w:tcPr>
            <w:tcW w:w="2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r>
      <w:tr>
        <w:trPr>
          <w:trHeight w:val="175"/>
        </w:trPr>
        <w:tc>
          <w:tcPr>
            <w:tcW w:w="6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61,862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80,558</w:t>
            </w:r>
          </w:p>
        </w:tc>
      </w:tr>
      <w:tr>
        <w:trPr>
          <w:trHeight w:val="176"/>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1,294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4,070</w:t>
            </w:r>
          </w:p>
        </w:tc>
      </w:tr>
      <w:tr>
        <w:trPr>
          <w:trHeight w:val="209"/>
        </w:trPr>
        <w:tc>
          <w:tcPr>
            <w:tcW w:w="69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63,156</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84,628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-2562225</wp:posOffset>
            </wp:positionV>
            <wp:extent cx="94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-1885315</wp:posOffset>
            </wp:positionV>
            <wp:extent cx="946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-967740</wp:posOffset>
            </wp:positionV>
            <wp:extent cx="94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-736600</wp:posOffset>
            </wp:positionV>
            <wp:extent cx="94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94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94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Shimmick Corporation and its subsidiaries (“Shimmick”, “we”, “our”, “us”, “its” or the “Company”), unless otherwise indicated. On September 12, 2023, the Company changed its name from SCCI National Holdings, Inc. to Shimmick Corporation.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of $2 million and other offering expenses of $4 million. Shimmick’s common stock began trading on the NASDAQ Global Market on November 14, 2023.</w:t>
      </w:r>
    </w:p>
    <w:p>
      <w:pPr>
        <w:spacing w:after="0" w:line="172" w:lineRule="exact"/>
        <w:rPr>
          <w:sz w:val="20"/>
          <w:szCs w:val="20"/>
          <w:color w:val="auto"/>
        </w:rPr>
      </w:pPr>
    </w:p>
    <w:p>
      <w:pPr>
        <w:ind w:right="5240"/>
        <w:spacing w:after="0" w:line="412" w:lineRule="auto"/>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 Basis of Presentation</w:t>
      </w:r>
    </w:p>
    <w:p>
      <w:pPr>
        <w:spacing w:after="0" w:line="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The accompanying condensed consolidated interim financial statements are unaudited and should be read in conjunction with the audited consolidated financial statements and notes thereto for the fiscal years ended December 30, 2022 and December 31, 2021 in the final prospectus (the “Prospectus”) filed November 15, 2023 with the U.S. Securities and Exchange Commission (the “SEC”) pursuant to Rule 424(b)(4) under the Securities Act relating to our Registration Statement on Form S-1. Because of the seasonal nature of some of the Company's operations, the results of operations for the period ended September 29, 2023 are not necessarily indicative of the results of operations to be expected for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condensed consolidated balance sheets and statements of cash flows and accompanying notes have been combined or rounded to conform to current period presentation. These changes had no impact on net (loss) income, cash flows, assets and liabilities, or equity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condensed consolidated financial statements. Accordingly, any information related to or dependent upon the share amounts in the condensed consolidated financial statements and Note 8, Stock-Based Compensation and Note 9, Earnings Per Share have been updated to reflect the effect of the stock split.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within the consolidated financial statements for the fiscal years ended December 30, 2022 and December 31, 2021 in the Prospectus.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In November 2023, the FASB issued ASU 2023-07 which requires disclosure of significant segment expense categories and amounts for each reportable segment. The ASU is effective for public entities for fiscal years beginning after December 15, 2023, and interim periods in fiscal years beginning after December 15, 2024. The Company is currently evaluating the ASU and the impact on its future condensed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revenue disaggregated by contract types:</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1"/>
                <w:szCs w:val="21"/>
                <w:color w:val="auto"/>
              </w:rPr>
            </w:pP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5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153,178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163,168</w:t>
            </w:r>
          </w:p>
        </w:tc>
        <w:tc>
          <w:tcPr>
            <w:tcW w:w="10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440,015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425,259</w:t>
            </w:r>
          </w:p>
        </w:tc>
        <w:tc>
          <w:tcPr>
            <w:tcW w:w="100" w:type="dxa"/>
            <w:vAlign w:val="bottom"/>
            <w:shd w:val="clear" w:color="auto" w:fill="CFF0FC"/>
          </w:tcPr>
          <w:p>
            <w:pPr>
              <w:spacing w:after="0"/>
              <w:rPr>
                <w:sz w:val="20"/>
                <w:szCs w:val="20"/>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reimbursable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42,039</w:t>
            </w:r>
          </w:p>
        </w:tc>
        <w:tc>
          <w:tcPr>
            <w:tcW w:w="100" w:type="dxa"/>
            <w:vAlign w:val="bottom"/>
          </w:tcPr>
          <w:p>
            <w:pPr>
              <w:spacing w:after="0"/>
              <w:rPr>
                <w:sz w:val="20"/>
                <w:szCs w:val="20"/>
                <w:color w:val="auto"/>
              </w:rPr>
            </w:pPr>
          </w:p>
        </w:tc>
      </w:tr>
      <w:tr>
        <w:trPr>
          <w:trHeight w:val="24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and labor revenue</w:t>
            </w:r>
          </w:p>
        </w:tc>
        <w:tc>
          <w:tcPr>
            <w:tcW w:w="1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477,945</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-187960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The Company had $1.2 billion of remaining performance obligations yet to be satisfied as of September 29, 2023. Our remaining performance obligations have a weighted average life of 2.0 years as of September 29,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6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123,388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116,120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7,268</w:t>
            </w: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Retainage receivable</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51,671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48,805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2,866</w:t>
            </w:r>
          </w:p>
        </w:tc>
      </w:tr>
      <w:tr>
        <w:trPr>
          <w:trHeight w:val="241"/>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assets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175,059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164,925</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10,134</w:t>
            </w:r>
          </w:p>
        </w:tc>
      </w:tr>
      <w:tr>
        <w:trPr>
          <w:trHeight w:val="47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(44,419 )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(56,963 )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12,544</w:t>
            </w: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Forward loss reserve</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(77,953 )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(108,608 )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30,655</w:t>
            </w:r>
          </w:p>
        </w:tc>
      </w:tr>
      <w:tr>
        <w:trPr>
          <w:trHeight w:val="237"/>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(122,372 )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(165,571 )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43,199</w:t>
            </w:r>
          </w:p>
        </w:tc>
      </w:tr>
      <w:tr>
        <w:trPr>
          <w:trHeight w:val="241"/>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52,687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53,333</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231F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 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$58</w:t>
      </w:r>
      <w:r>
        <w:rPr>
          <w:rFonts w:ascii="Times New Roman" w:cs="Times New Roman" w:eastAsia="Times New Roman" w:hAnsi="Times New Roman"/>
          <w:sz w:val="18"/>
          <w:szCs w:val="18"/>
          <w:color w:val="231F20"/>
        </w:rPr>
        <w:t xml:space="preserve"> million during the nine months ended September 29, 2023 that was included in contract liabilities as of December 30, 2022.</w:t>
      </w:r>
    </w:p>
    <w:p>
      <w:pPr>
        <w:sectPr>
          <w:pgSz w:w="11900" w:h="16838" w:orient="portrait"/>
          <w:cols w:equalWidth="0" w:num="1">
            <w:col w:w="11240"/>
          </w:cols>
          <w:pgMar w:left="320" w:top="333"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50"/>
        </w:trPr>
        <w:tc>
          <w:tcPr>
            <w:tcW w:w="5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69,373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57,395</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(965 )</w:t>
            </w: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68,442</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Substantially all contract assets as of September 29, 2023 and December 30, 2022 are expected to be collected within the Company’s estimated operating cycle, except for retainage and claims pertaining to certain contracts. The Company’s operating cycle may extend beyond one year.</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p>
      <w:pPr>
        <w:sectPr>
          <w:pgSz w:w="11900" w:h="16838" w:orient="portrait"/>
          <w:cols w:equalWidth="0" w:num="1">
            <w:col w:w="11040"/>
          </w:cols>
          <w:pgMar w:left="320" w:top="405" w:right="539" w:bottom="1440" w:gutter="0" w:footer="0" w:header="0"/>
        </w:sectPr>
      </w:pPr>
    </w:p>
    <w:p>
      <w:pPr>
        <w:spacing w:after="0" w:line="23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Significant Customers as a Percentage of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35560</wp:posOffset>
            </wp:positionV>
            <wp:extent cx="3240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0" w:lineRule="exact"/>
        <w:rPr>
          <w:sz w:val="20"/>
          <w:szCs w:val="20"/>
          <w:color w:val="auto"/>
        </w:rPr>
      </w:pPr>
    </w:p>
    <w:p>
      <w:pPr>
        <w:spacing w:after="0" w:line="26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2404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0" w:lineRule="exact"/>
        <w:rPr>
          <w:sz w:val="20"/>
          <w:szCs w:val="20"/>
          <w:color w:val="auto"/>
        </w:rPr>
      </w:pPr>
    </w:p>
    <w:p>
      <w:pPr>
        <w:spacing w:after="0" w:line="26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368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Nine Months Ended 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-290830</wp:posOffset>
            </wp:positionV>
            <wp:extent cx="9429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454660</wp:posOffset>
            </wp:positionV>
            <wp:extent cx="9429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454660</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15.5%</w:t>
      </w:r>
    </w:p>
    <w:p>
      <w:pPr>
        <w:spacing w:after="0" w:line="36"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14.2%</w:t>
      </w:r>
    </w:p>
    <w:p>
      <w:pPr>
        <w:spacing w:after="0" w:line="36"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12.5%</w:t>
      </w:r>
    </w:p>
    <w:p>
      <w:pPr>
        <w:spacing w:after="0" w:line="200" w:lineRule="exact"/>
        <w:rPr>
          <w:sz w:val="20"/>
          <w:szCs w:val="20"/>
          <w:color w:val="auto"/>
        </w:rPr>
      </w:pPr>
    </w:p>
    <w:p>
      <w:pPr>
        <w:spacing w:after="0" w:line="322"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13.1%</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11.5%</w:t>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11.3%</w:t>
      </w:r>
    </w:p>
    <w:p>
      <w:pPr>
        <w:spacing w:after="0" w:line="211" w:lineRule="exact"/>
        <w:rPr>
          <w:sz w:val="20"/>
          <w:szCs w:val="20"/>
          <w:color w:val="auto"/>
        </w:rPr>
      </w:pPr>
    </w:p>
    <w:p>
      <w:pPr>
        <w:sectPr>
          <w:pgSz w:w="11900" w:h="16838" w:orient="portrait"/>
          <w:cols w:equalWidth="0" w:num="2">
            <w:col w:w="7240" w:space="720"/>
            <w:col w:w="3080"/>
          </w:cols>
          <w:pgMar w:left="320" w:top="405" w:right="539" w:bottom="1440" w:gutter="0" w:footer="0" w:header="0"/>
          <w:type w:val="continuous"/>
        </w:sect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05" w:right="5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Changes in contract estimates resulted in net increases in gross margin of $5 million for the three months ended September 29, 2023, primarily due to a change in an outstanding claim. Changes in contract estimates resulted in net decreases in gross margin of $10 million for the nine months ended September 29, 2023, primarily due to increased forecasted costs to complete and an agreed upon contract settlement lower than previously estimated, partially offset by increases in gross margin on an outstanding claim.</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estimates for the three months ended September 30, 2022. Changes in contract estimates resulted in net decreases in gross margin of $6 million for the nine months ended September 30, 2022, primarily due to increased forecasted costs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financial information of the consolidated joint ventures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50"/>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3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820" w:type="dxa"/>
            <w:vAlign w:val="bottom"/>
            <w:tcBorders>
              <w:right w:val="single" w:sz="8" w:color="CFF0FC"/>
            </w:tcBorders>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80" w:type="dxa"/>
            <w:vAlign w:val="bottom"/>
            <w:shd w:val="clear" w:color="auto" w:fill="CFF0FC"/>
          </w:tcPr>
          <w:p>
            <w:pPr>
              <w:spacing w:after="0"/>
              <w:rPr>
                <w:sz w:val="21"/>
                <w:szCs w:val="21"/>
                <w:color w:val="auto"/>
              </w:rPr>
            </w:pPr>
          </w:p>
        </w:tc>
      </w:tr>
      <w:tr>
        <w:trPr>
          <w:trHeight w:val="23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0"/>
                <w:szCs w:val="20"/>
                <w:color w:val="auto"/>
              </w:rPr>
            </w:pPr>
          </w:p>
        </w:tc>
      </w:tr>
      <w:tr>
        <w:trPr>
          <w:trHeight w:val="281"/>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2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right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80" w:type="dxa"/>
            <w:vAlign w:val="bottom"/>
          </w:tcPr>
          <w:p>
            <w:pPr>
              <w:spacing w:after="0"/>
              <w:rPr>
                <w:sz w:val="19"/>
                <w:szCs w:val="19"/>
                <w:color w:val="auto"/>
              </w:rPr>
            </w:pPr>
          </w:p>
        </w:tc>
      </w:tr>
      <w:tr>
        <w:trPr>
          <w:trHeight w:val="243"/>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43,756</w:t>
            </w:r>
          </w:p>
        </w:tc>
        <w:tc>
          <w:tcPr>
            <w:tcW w:w="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8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35"/>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00" w:type="dxa"/>
            <w:vAlign w:val="bottom"/>
          </w:tcPr>
          <w:p>
            <w:pPr>
              <w:spacing w:after="0"/>
              <w:rPr>
                <w:sz w:val="18"/>
                <w:szCs w:val="18"/>
                <w:color w:val="auto"/>
              </w:rPr>
            </w:pPr>
          </w:p>
        </w:tc>
        <w:tc>
          <w:tcPr>
            <w:tcW w:w="128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r>
      <w:tr>
        <w:trPr>
          <w:trHeight w:val="240"/>
        </w:trPr>
        <w:tc>
          <w:tcPr>
            <w:tcW w:w="2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r>
      <w:tr>
        <w:trPr>
          <w:trHeight w:val="227"/>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4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760" w:type="dxa"/>
            <w:vAlign w:val="bottom"/>
            <w:gridSpan w:val="2"/>
            <w:shd w:val="clear" w:color="auto" w:fill="CCEC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CFF"/>
            </w:tcBorders>
            <w:gridSpan w:val="3"/>
            <w:shd w:val="clear" w:color="auto" w:fill="CCECFF"/>
          </w:tcPr>
          <w:p>
            <w:pPr>
              <w:ind w:left="340"/>
              <w:spacing w:after="0"/>
              <w:rPr>
                <w:sz w:val="20"/>
                <w:szCs w:val="20"/>
                <w:color w:val="auto"/>
              </w:rPr>
            </w:pPr>
            <w:r>
              <w:rPr>
                <w:rFonts w:ascii="Times New Roman" w:cs="Times New Roman" w:eastAsia="Times New Roman" w:hAnsi="Times New Roman"/>
                <w:sz w:val="16"/>
                <w:szCs w:val="16"/>
                <w:color w:val="auto"/>
                <w:w w:val="99"/>
              </w:rPr>
              <w:t>18,750</w:t>
            </w:r>
          </w:p>
        </w:tc>
        <w:tc>
          <w:tcPr>
            <w:tcW w:w="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80" w:type="dxa"/>
            <w:vAlign w:val="bottom"/>
            <w:shd w:val="clear" w:color="auto" w:fill="CCECFF"/>
          </w:tcPr>
          <w:p>
            <w:pPr>
              <w:spacing w:after="0"/>
              <w:rPr>
                <w:sz w:val="21"/>
                <w:szCs w:val="21"/>
                <w:color w:val="auto"/>
              </w:rPr>
            </w:pPr>
          </w:p>
        </w:tc>
      </w:tr>
      <w:tr>
        <w:trPr>
          <w:trHeight w:val="20"/>
        </w:trPr>
        <w:tc>
          <w:tcPr>
            <w:tcW w:w="29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-1576705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-1559560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-1576705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-1559560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-1242060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-1242060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-24765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financial information of the unconsolidated joint ventures, as derived from their financial statements,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50"/>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88,206</w:t>
            </w:r>
          </w:p>
        </w:tc>
        <w:tc>
          <w:tcPr>
            <w:tcW w:w="6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78,228</w:t>
            </w:r>
          </w:p>
        </w:tc>
        <w:tc>
          <w:tcPr>
            <w:tcW w:w="80" w:type="dxa"/>
            <w:vAlign w:val="bottom"/>
            <w:shd w:val="clear" w:color="auto" w:fill="CFF0FC"/>
          </w:tcPr>
          <w:p>
            <w:pPr>
              <w:spacing w:after="0"/>
              <w:rPr>
                <w:sz w:val="21"/>
                <w:szCs w:val="2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80" w:type="dxa"/>
            <w:vAlign w:val="bottom"/>
          </w:tcPr>
          <w:p>
            <w:pPr>
              <w:spacing w:after="0"/>
              <w:rPr>
                <w:sz w:val="20"/>
                <w:szCs w:val="20"/>
                <w:color w:val="auto"/>
              </w:rPr>
            </w:pPr>
          </w:p>
        </w:tc>
      </w:tr>
      <w:tr>
        <w:trPr>
          <w:trHeight w:val="281"/>
        </w:trPr>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105,715</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80" w:type="dxa"/>
            <w:vAlign w:val="bottom"/>
          </w:tcPr>
          <w:p>
            <w:pPr>
              <w:spacing w:after="0"/>
              <w:rPr>
                <w:sz w:val="19"/>
                <w:szCs w:val="19"/>
                <w:color w:val="auto"/>
              </w:rPr>
            </w:pPr>
          </w:p>
        </w:tc>
      </w:tr>
      <w:tr>
        <w:trPr>
          <w:trHeight w:val="281"/>
        </w:trPr>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-367665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-351155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5" w:right="6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245"/>
        </w:trPr>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25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r>
      <w:tr>
        <w:trPr>
          <w:trHeight w:val="245"/>
        </w:trPr>
        <w:tc>
          <w:tcPr>
            <w:tcW w:w="2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114,703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59,458</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397,743</w:t>
            </w:r>
          </w:p>
        </w:tc>
        <w:tc>
          <w:tcPr>
            <w:tcW w:w="80" w:type="dxa"/>
            <w:vAlign w:val="bottom"/>
            <w:shd w:val="clear" w:color="auto" w:fill="CFF0FC"/>
          </w:tcPr>
          <w:p>
            <w:pPr>
              <w:spacing w:after="0"/>
              <w:rPr>
                <w:sz w:val="21"/>
                <w:szCs w:val="2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78,430</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276,284</w:t>
            </w:r>
          </w:p>
        </w:tc>
        <w:tc>
          <w:tcPr>
            <w:tcW w:w="80" w:type="dxa"/>
            <w:vAlign w:val="bottom"/>
          </w:tcPr>
          <w:p>
            <w:pPr>
              <w:spacing w:after="0"/>
              <w:rPr>
                <w:sz w:val="21"/>
                <w:szCs w:val="21"/>
                <w:color w:val="auto"/>
              </w:rPr>
            </w:pPr>
          </w:p>
        </w:tc>
      </w:tr>
      <w:tr>
        <w:trPr>
          <w:trHeight w:val="277"/>
        </w:trPr>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3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121,459</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121,459</w:t>
            </w:r>
          </w:p>
        </w:tc>
        <w:tc>
          <w:tcPr>
            <w:tcW w:w="8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-205105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-187960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-205105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-205105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-205105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As of September 29, 2023 and December 30, 2022, the Company’s investment in unconsolidated joint ventures was $27 million and $17 million, respectively.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recognized equity in earnings of unconsolidated joint ventures of $3 million and $10 million for the three and nine months ended September 29, 2023, respectively, and $20 million and $58 million for the three and nine months ended September 30,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11, Commitments and Contingencies.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293"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3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77"/>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the condensed consolidated balance sheets related to services provided to unconsolidated joint ventures for the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2023 and December 30, 2022 are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50"/>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45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2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property, plant and equipment as of September 29, 2023 and December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30, 2022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2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240" w:type="dxa"/>
            <w:vAlign w:val="bottom"/>
          </w:tcPr>
          <w:p>
            <w:pPr>
              <w:spacing w:after="0"/>
              <w:rPr>
                <w:sz w:val="21"/>
                <w:szCs w:val="21"/>
                <w:color w:val="auto"/>
              </w:rPr>
            </w:pPr>
          </w:p>
        </w:tc>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3,907</w:t>
            </w:r>
          </w:p>
        </w:tc>
        <w:tc>
          <w:tcPr>
            <w:tcW w:w="1120" w:type="dxa"/>
            <w:vAlign w:val="bottom"/>
            <w:gridSpan w:val="2"/>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3,887</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2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72,085</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67,698</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8,691</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7,891</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2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84,683</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79,476</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(34,569 )</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(24,268 )</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240" w:type="dxa"/>
            <w:vAlign w:val="bottom"/>
          </w:tcPr>
          <w:p>
            <w:pPr>
              <w:spacing w:after="0"/>
              <w:rPr>
                <w:sz w:val="20"/>
                <w:szCs w:val="20"/>
                <w:color w:val="auto"/>
              </w:rPr>
            </w:pPr>
          </w:p>
        </w:tc>
        <w:tc>
          <w:tcPr>
            <w:tcW w:w="3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50,114</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55,208</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0"/>
        </w:trPr>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r>
      <w:tr>
        <w:trPr>
          <w:trHeight w:val="240"/>
        </w:trPr>
        <w:tc>
          <w:tcPr>
            <w:tcW w:w="1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0"/>
        </w:trPr>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-1559560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-1242060</wp:posOffset>
            </wp:positionV>
            <wp:extent cx="102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 w:name="page14"/>
    <w:bookmarkEnd w:id="13"/>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2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finite-lived intangible assets, including the weighted-average useful lives for each major intangible asset category and in total: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 Useful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8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Life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2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208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10,600</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(4,164 )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6,436</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2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6,527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(3,075 )</w:t>
            </w: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17,127</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280" w:type="dxa"/>
            <w:vAlign w:val="bottom"/>
            <w:tcBorders>
              <w:bottom w:val="single" w:sz="8" w:color="CFF0FC"/>
              <w:right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2"/>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December 30, 2022</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Remaining Useful Life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0" w:type="dxa"/>
            <w:vAlign w:val="bottom"/>
          </w:tcPr>
          <w:p>
            <w:pPr>
              <w:spacing w:after="0"/>
              <w:rPr>
                <w:sz w:val="1"/>
                <w:szCs w:val="1"/>
                <w:color w:val="auto"/>
              </w:rPr>
            </w:pP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10,600</w:t>
            </w:r>
          </w:p>
        </w:tc>
        <w:tc>
          <w:tcPr>
            <w:tcW w:w="120" w:type="dxa"/>
            <w:vAlign w:val="bottom"/>
          </w:tcPr>
          <w:p>
            <w:pPr>
              <w:spacing w:after="0"/>
              <w:rPr>
                <w:sz w:val="20"/>
                <w:szCs w:val="20"/>
                <w:color w:val="auto"/>
              </w:rPr>
            </w:pPr>
          </w:p>
        </w:tc>
        <w:tc>
          <w:tcPr>
            <w:tcW w:w="2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(3,029 )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6,709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tcBorders>
              <w:right w:val="single" w:sz="8" w:color="CFF0FC"/>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(2,236 )</w:t>
            </w:r>
          </w:p>
        </w:tc>
        <w:tc>
          <w:tcPr>
            <w:tcW w:w="100" w:type="dxa"/>
            <w:vAlign w:val="bottom"/>
            <w:shd w:val="clear" w:color="auto" w:fill="CFF0FC"/>
          </w:tcPr>
          <w:p>
            <w:pPr>
              <w:spacing w:after="0"/>
              <w:rPr>
                <w:sz w:val="20"/>
                <w:szCs w:val="20"/>
                <w:color w:val="auto"/>
              </w:rPr>
            </w:pP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4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(5,265 )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Company’s estimated aggregate remaining amortization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8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4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FF0FC"/>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2,577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2,577</w:t>
            </w:r>
          </w:p>
        </w:tc>
        <w:tc>
          <w:tcPr>
            <w:tcW w:w="80" w:type="dxa"/>
            <w:vAlign w:val="bottom"/>
            <w:shd w:val="clear" w:color="auto" w:fill="CFF0FC"/>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2,577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4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right w:val="single" w:sz="8" w:color="CFF0FC"/>
            </w:tcBorders>
            <w:shd w:val="clear" w:color="auto" w:fill="CFF0FC"/>
          </w:tcPr>
          <w:p>
            <w:pPr>
              <w:spacing w:after="0"/>
              <w:rPr>
                <w:sz w:val="21"/>
                <w:szCs w:val="21"/>
                <w:color w:val="auto"/>
              </w:rPr>
            </w:pPr>
          </w:p>
        </w:tc>
        <w:tc>
          <w:tcPr>
            <w:tcW w:w="280" w:type="dxa"/>
            <w:vAlign w:val="bottom"/>
            <w:tcBorders>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1,513</w:t>
            </w:r>
          </w:p>
        </w:tc>
        <w:tc>
          <w:tcPr>
            <w:tcW w:w="80" w:type="dxa"/>
            <w:vAlign w:val="bottom"/>
            <w:tcBorders>
              <w:bottom w:val="single" w:sz="8" w:color="CFF0FC"/>
            </w:tcBorders>
            <w:shd w:val="clear" w:color="auto" w:fill="CFF0FC"/>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9,888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-3505200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-3488055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-3488055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-3505200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-3488055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-2133600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-2133600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Transaction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executed a $35 million Membership Interest Purchase Agreement on June 30, 2023 for the sale of non-core business contracts. A gain on the sale of non-core business contracts of $30 million was recorded within gain (loss) on sale of assets after consummation of the transaction during the three months ended September 29, 2023 after a $5 million adjustment to the purchase price. The company received $30 million in cash as of September 29,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4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0" w:type="dxa"/>
            <w:vAlign w:val="bottom"/>
          </w:tcPr>
          <w:p>
            <w:pPr>
              <w:spacing w:after="0"/>
              <w:rPr>
                <w:sz w:val="21"/>
                <w:szCs w:val="21"/>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29, 2023</w:t>
            </w:r>
          </w:p>
        </w:tc>
        <w:tc>
          <w:tcPr>
            <w:tcW w:w="200" w:type="dxa"/>
            <w:vAlign w:val="bottom"/>
          </w:tcPr>
          <w:p>
            <w:pPr>
              <w:spacing w:after="0"/>
              <w:rPr>
                <w:sz w:val="21"/>
                <w:szCs w:val="21"/>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30, 2022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33,722</w:t>
            </w:r>
          </w:p>
        </w:tc>
        <w:tc>
          <w:tcPr>
            <w:tcW w:w="102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0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33,722</w:t>
            </w:r>
          </w:p>
        </w:tc>
        <w:tc>
          <w:tcPr>
            <w:tcW w:w="20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Long-term debt, net</w:t>
            </w:r>
          </w:p>
        </w:tc>
        <w:tc>
          <w:tcPr>
            <w:tcW w:w="2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33,407</w:t>
            </w:r>
          </w:p>
        </w:tc>
        <w:tc>
          <w:tcPr>
            <w:tcW w:w="10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-993775</wp:posOffset>
            </wp:positionV>
            <wp:extent cx="1289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-676275</wp:posOffset>
            </wp:positionV>
            <wp:extent cx="1289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a Revolving Credit Facility Agreement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$35 million and bears interest at an annual rate of adjusted term SOFR, subject to a 1.0% floor, plus 4.50%. Further, the Revolving Credit Facility is subject to an annual collateral management fee of 0.50% and an annual unused line fee of 0.50%. Key financial covenants under the Revolving Credit Facility include maintaining a leverage ratio that does not exceed 1.75 to 1.0 and a minimum liquidity of $25 million. The Revolving Credit Facility Agreement matures on March 27, 2028. The Company is not aware of any instances of noncompliance with the key financial covenants as of December 19, 2023.</w:t>
      </w:r>
    </w:p>
    <w:p>
      <w:pPr>
        <w:spacing w:after="0" w:line="18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Following the IPO, we used the net proceeds we received from our IPO, together with cash on hand, to repay all outstanding borrowing under our Revolving Credit Facility. Subsequent to the repayment, we drew $20 million on our Revolving Credit Facility to fund working capital requirements.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had a $25 million Revolving Line of Credit with BMO Harris Bank, N.A., under which the Company had no outstanding borrowings as of September 29, 2023 or December 30, 2022. Borrowings under the Revolving Line of Credit bear interest at a rate based on SOFR or a combination of rates (prime rate, federal fund rate, and SOFR) at the Company’s election, with an added margin depending on the Company’s leverage ratio. The unused balance of the Revolving Line of Credit bears a commitment fee of between 0.25% and 0.40% per year, depending on the Company’s leverage ratio. Key financial covenants under the Revolving Line of Credit include maintaining a leverage ratio that does not exceed 2.0 to 1.0 and a minimum cash balance of $35 million. The Revolving Line of Credit terminated on March 27, 2023 upon the Company entering into the Revolving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3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compute the year-to-date income tax provision by applying our estimated annual effective tax rate to our year-to-date pre-tax income and adjust for discrete tax items in the period in which they occur.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was 0% for each of the three months ended September 29, 2023 and September 30, 2022. The effective tax rate was 0% and 5.7% for the nine months ended September 29, 2023 and September 30, 2022, respectively. For the nine months ended September 29, 2023, the deferred tax expense resulting from the current year loss is completely offset by the valuation allowance, resulting in zero tax expense. For the nine months ended September 30, 2022, income tax expense is primarily offset by a release in valuation allowance against the net operating loss deferred tax asset, for which utilization of the NOL is limited to 80% of taxable income and creates taxable income.</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of the deferred tax assets will not be realized.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After weighing all of the evidence, giving more weight to the evidence that was objectively verifiable, a valuation allowance of $116 million and $118 million as of September 29, 2023 and December 30, 2022, respectively, has been recorded to recognize only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 w:name="page16"/>
    <w:bookmarkEnd w:id="1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3,729,149 is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29, 2023, stock option activity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 years of</w:t>
            </w:r>
          </w:p>
        </w:tc>
      </w:tr>
      <w:tr>
        <w:trPr>
          <w:trHeight w:val="216"/>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45"/>
        </w:trPr>
        <w:tc>
          <w:tcPr>
            <w:tcW w:w="370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20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00" w:type="dxa"/>
            <w:vAlign w:val="bottom"/>
          </w:tcPr>
          <w:p>
            <w:pPr>
              <w:spacing w:after="0"/>
              <w:rPr>
                <w:sz w:val="21"/>
                <w:szCs w:val="21"/>
                <w:color w:val="auto"/>
              </w:rPr>
            </w:pPr>
          </w:p>
        </w:tc>
      </w:tr>
      <w:tr>
        <w:trPr>
          <w:trHeight w:val="24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30, 2022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4,489,094</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FF0FC"/>
          </w:tcPr>
          <w:p>
            <w:pPr>
              <w:spacing w:after="0"/>
              <w:rPr>
                <w:sz w:val="21"/>
                <w:szCs w:val="21"/>
                <w:color w:val="auto"/>
              </w:rPr>
            </w:pPr>
          </w:p>
        </w:tc>
      </w:tr>
      <w:tr>
        <w:trPr>
          <w:trHeight w:val="23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(10,077 )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(126,469 )</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(12,302 )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29, 2023</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4,340,246</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29,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2,592,022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-205105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-205105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-205105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$2 million for each of the nine months ended September 29, 2023 and September 30, 2022. Unrecognized compensation expense related to stock-based grants to employees of Shimmick outstanding as of September 29, 2023 and September 30, 2022 was $3 million and $6 million, respectively, to be recognized on a straight-line basis over the awards’ weighted average remaining vesting period of 1.6 years and 2.6 years, respectively.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Stock options are considered dilutive whenever the exercise price is less than the average market price of the stock during the period and antidilutive whenever the exercise price exceeds the average market price of the common stock during the period. All 4.3 million and 4.5 million employee stock options were excluded from the calculation of diluted earnings per share for each of the three and nine months ended September 29, 2023 and September 30, 2022, respectively, as they are antidilutive to the EPS calculation. The computation of basic and diluted EPS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13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Shimmick Corporation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w:t>
            </w: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assumed conversions</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-1619250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-1602105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-1619250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-1602105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-1602105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-822325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-822325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-822325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-385445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-367665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-385445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-367665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-385445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-367665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recorded within the condensed consolidated statements of operations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1"/>
                <w:szCs w:val="21"/>
                <w:color w:val="auto"/>
              </w:rPr>
            </w:pPr>
          </w:p>
        </w:tc>
      </w:tr>
      <w:tr>
        <w:trPr>
          <w:trHeight w:val="207"/>
        </w:trPr>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40" w:type="dxa"/>
            <w:vAlign w:val="bottom"/>
          </w:tcPr>
          <w:p>
            <w:pPr>
              <w:spacing w:after="0"/>
              <w:rPr>
                <w:sz w:val="18"/>
                <w:szCs w:val="18"/>
                <w:color w:val="auto"/>
              </w:rPr>
            </w:pP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Pr>
          <w:p>
            <w:pPr>
              <w:spacing w:after="0"/>
              <w:rPr>
                <w:sz w:val="18"/>
                <w:szCs w:val="18"/>
                <w:color w:val="auto"/>
              </w:rPr>
            </w:pP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r>
      <w:tr>
        <w:trPr>
          <w:trHeight w:val="245"/>
        </w:trPr>
        <w:tc>
          <w:tcPr>
            <w:tcW w:w="1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2,954</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9,732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20"/>
                <w:szCs w:val="20"/>
                <w:color w:val="auto"/>
              </w:rPr>
            </w:pPr>
          </w:p>
        </w:tc>
      </w:tr>
      <w:tr>
        <w:trPr>
          <w:trHeight w:val="247"/>
        </w:trPr>
        <w:tc>
          <w:tcPr>
            <w:tcW w:w="120" w:type="dxa"/>
            <w:vAlign w:val="bottom"/>
          </w:tcPr>
          <w:p>
            <w:pPr>
              <w:spacing w:after="0"/>
              <w:rPr>
                <w:sz w:val="21"/>
                <w:szCs w:val="21"/>
                <w:color w:val="auto"/>
              </w:rPr>
            </w:pPr>
          </w:p>
        </w:tc>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20" w:type="dxa"/>
            <w:vAlign w:val="bottom"/>
          </w:tcPr>
          <w:p>
            <w:pPr>
              <w:spacing w:after="0"/>
              <w:rPr>
                <w:sz w:val="21"/>
                <w:szCs w:val="21"/>
                <w:color w:val="auto"/>
              </w:rPr>
            </w:pPr>
          </w:p>
        </w:tc>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3,483</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11,414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12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-668020</wp:posOffset>
            </wp:positionV>
            <wp:extent cx="946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-668020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-668020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Additional condensed consolidated balance sheets information related to leases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1"/>
                <w:szCs w:val="21"/>
                <w:color w:val="auto"/>
              </w:rPr>
            </w:pPr>
          </w:p>
        </w:tc>
        <w:tc>
          <w:tcPr>
            <w:tcW w:w="27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25,644</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21,811</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5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22,690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 w:type="dxa"/>
            <w:vAlign w:val="bottom"/>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16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37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8,625</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7,767</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81"/>
        </w:trPr>
        <w:tc>
          <w:tcPr>
            <w:tcW w:w="8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3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216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4"/>
                <w:szCs w:val="24"/>
                <w:color w:val="auto"/>
              </w:rPr>
            </w:pPr>
          </w:p>
        </w:tc>
        <w:tc>
          <w:tcPr>
            <w:tcW w:w="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8,934</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1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8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16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13,861</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14,442</w:t>
            </w:r>
          </w:p>
        </w:tc>
        <w:tc>
          <w:tcPr>
            <w:tcW w:w="0" w:type="dxa"/>
            <w:vAlign w:val="bottom"/>
          </w:tcPr>
          <w:p>
            <w:pPr>
              <w:spacing w:after="0"/>
              <w:rPr>
                <w:sz w:val="1"/>
                <w:szCs w:val="1"/>
                <w:color w:val="auto"/>
              </w:rPr>
            </w:pPr>
          </w:p>
        </w:tc>
      </w:tr>
      <w:tr>
        <w:trPr>
          <w:trHeight w:val="20"/>
        </w:trPr>
        <w:tc>
          <w:tcPr>
            <w:tcW w:w="6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2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30,</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4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leases</w:t>
            </w:r>
          </w:p>
        </w:tc>
        <w:tc>
          <w:tcPr>
            <w:tcW w:w="21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4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-5579745</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-4302760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-4285615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-3659505</wp:posOffset>
            </wp:positionV>
            <wp:extent cx="85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7"/>
                <w:szCs w:val="17"/>
                <w:color w:val="auto"/>
              </w:rPr>
            </w:pPr>
          </w:p>
        </w:tc>
        <w:tc>
          <w:tcPr>
            <w:tcW w:w="140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2,714</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7"/>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8,275</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28,165</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7"/>
        </w:trPr>
        <w:tc>
          <w:tcPr>
            <w:tcW w:w="5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25,339</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1028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0400"/>
          </w:cols>
          <w:pgMar w:left="320" w:top="162" w:right="11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62" w:right="11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September 29, 2023 and December 30, 2022, and believes that the ultimate resolution of such matters will not materially affect the Company's condensed consolidated financial position, results of operations, or cash flows.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recorded contingent consideration as of September 29, 2023 and December 30, 2022 at its estimated fair value. The Company is unable to reasonably determine an estimated range of amounts of the payments that could be made due to the uncertainty of future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At September 29, 2023 and December 30, 2022, the total amount of standby letters of credit outstanding were $0 and $8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the Prospectus, particularly in “Risk Factors” or in other sections of this Form 10-Q, as well as the “Risk Factors” section in the Prospectus and those described from time to time in our future reports with the SEC. This discussion should be read in conjunction with our unaudited condensed consolidated financial statements and the notes thereto included elsewhere in this Form 10-Q.</w:t>
      </w:r>
    </w:p>
    <w:p>
      <w:pPr>
        <w:spacing w:after="0" w:line="18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cs="Times New Roman" w:eastAsia="Times New Roman" w:hAnsi="Times New Roman"/>
          <w:sz w:val="18"/>
          <w:szCs w:val="18"/>
          <w:i w:val="1"/>
          <w:iCs w:val="1"/>
          <w:color w:val="auto"/>
        </w:rPr>
        <w:t>Engineering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News Record</w:t>
      </w:r>
      <w:r>
        <w:rPr>
          <w:rFonts w:ascii="Times New Roman" w:cs="Times New Roman" w:eastAsia="Times New Roman" w:hAnsi="Times New Roman"/>
          <w:sz w:val="18"/>
          <w:szCs w:val="18"/>
          <w:color w:val="auto"/>
        </w:rPr>
        <w:t>, in 2023, Shimmick was nationally ranked as a top ten builder of water supply (#6), dams and reservoirs (#7), and water treatment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desalination plants (#7). Shimmick is led by industry veterans, many with over 20 years of experience, and works closely with its customers to deliver complete solutions, including long-term operations and maintenance..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17" w:lineRule="exact"/>
        <w:rPr>
          <w:sz w:val="20"/>
          <w:szCs w:val="20"/>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Resources: We build, expand, and improve water storage and conveyance, dams, levees, flood control systems, pump stations, and coastal protection. We also upgrade and expand dams, levees and locks along our nation’s waterways to enable continued emissions-reducing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29, 2023, we had a backlog of projects in excess of $1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and Initial Public Offering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ind w:right="80"/>
        <w:spacing w:after="0" w:line="266"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After the transaction, we began a transformation to shift our strategy to meet the nation’s growing need for water and other critical infrastructure and grow our business. We are also focusing more on smaller complex jobs that we can largely self perform and which we believe will have lower risk and higher margin.</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As part of the transaction, we assumed the existing construction projects and backlog that were bid under AECOM’s strategy ("Legacy Jobs"). A subset of these projects have experienced significant cost overruns due to the COVID pandemic, design issues and other factors. On this subset, we have recognized the estimated cost to complete and the loss expected from these jobs. As these legacy loss jobs continue to completion no further gross margin will be recognized. Revenue recognized on these legacy loss jobs was $25 million and $29 million for the three months ended September 29, 2023 and September 30, 2022, respectively. Revenue recognized on these legacy loss jobs was $72 million and $76 million for the nine months ended September 29, 2023 and September 30, 2022, respectively.</w:t>
      </w:r>
    </w:p>
    <w:p>
      <w:pPr>
        <w:spacing w:after="0" w:line="18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$23 million, after deducting underwriting discounts and commissions and before estimated offering expenses payable by the Company. The Company’s common stock began trading on the NASDAQ Global Market on November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have discussed below.</w:t>
      </w:r>
    </w:p>
    <w:p>
      <w:pPr>
        <w:spacing w:after="0" w:line="1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2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231F20"/>
        </w:rPr>
        <w:t>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 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8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231F20"/>
        </w:rPr>
        <w:t>Our Ability to Control Selling General and Administrative Costs</w:t>
      </w:r>
      <w:r>
        <w:rPr>
          <w:rFonts w:ascii="Times New Roman" w:cs="Times New Roman" w:eastAsia="Times New Roman" w:hAnsi="Times New Roman"/>
          <w:sz w:val="17"/>
          <w:szCs w:val="17"/>
          <w:color w:val="231F20"/>
        </w:rPr>
        <w:t>. As a result of our initial public offering, we will incur significant expenses on an ongoing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basis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will generally be selling, general and administrative expenses. We plan to implement the 2023 Omnibus Incentive Plan to align our equity compensation program with public company plans and practices, which is expected to increase our stock-based compensation expense.</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of Unconsolidated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of unconsolidated joint ventures includes our return on investment in unconsolidated joint ventures.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29, 2023 compared to the Three Months Ended September 30, 2022</w:t>
      </w:r>
    </w:p>
    <w:p>
      <w:pPr>
        <w:spacing w:after="0" w:line="3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data for the three months ended September 29, 2023 compared to the three months ended September 30,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00" w:type="dxa"/>
            <w:vAlign w:val="bottom"/>
          </w:tcPr>
          <w:p>
            <w:pPr>
              <w:spacing w:after="0"/>
              <w:rPr>
                <w:sz w:val="17"/>
                <w:szCs w:val="17"/>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39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175,448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184,367</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(8,919 )</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(5 )%</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158,436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171,222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(12,786 )</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17,012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13,145</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3,867</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658</w:t>
            </w:r>
          </w:p>
        </w:tc>
        <w:tc>
          <w:tcPr>
            <w:tcW w:w="1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15,562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19,604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(17,027 )</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30,069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30,069</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35,636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17,187</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18,449</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income tax</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34,831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17,864</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16,967</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34,831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17,864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16,967</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95 %</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-950595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-950595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-950595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-950595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income</w:t>
      </w:r>
    </w:p>
    <w:p>
      <w:pPr>
        <w:spacing w:after="0" w:line="1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Net income increased by $17 million, or 96%, primarily driven by a gain on the sale of non-core business contracts of $30 million, increase in gross margin of $4 million, and a decrease in selling, general and administrative expenses of $2 million, partially offset by lower equity in earnings of unconsolidated joint ventures of $17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 decreased $9 million, or 5%, primarily due to a $34 million decrease in revenue from Legacy Jobs, which includes a decrease of $4 million in legacy loss job revenue, as a result of jobs winding down, partially offset by an increase in post-AECOM Sale Transactions jobs of $25 million as a result of new jobs and jobs that were just ramping up in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Gross margin</w:t>
      </w:r>
    </w:p>
    <w:p>
      <w:pPr>
        <w:spacing w:after="0" w:line="1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Gross margin increased $4 million, or 29%, primarily due to management’s shift in job-bidding strategy toward higher margin, lower risk jobs, resulting in a $9 million reduction in revenue discussed above, partially offset by a decrease of $13 million in cost of revenue primarily due to timing of work performed.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decreased by $2 million, or 10%, primarily due to a decrease in variable compensation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earnings of unconsolidated joint ventures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7" w:right="319" w:bottom="1440" w:gutter="0" w:footer="0" w:header="0"/>
        </w:sectPr>
      </w:pPr>
    </w:p>
    <w:bookmarkStart w:id="23" w:name="page24"/>
    <w:bookmarkEnd w:id="23"/>
    <w:p>
      <w:pPr>
        <w:ind w:right="80"/>
        <w:spacing w:after="0" w:line="282" w:lineRule="auto"/>
        <w:rPr>
          <w:sz w:val="20"/>
          <w:szCs w:val="20"/>
          <w:color w:val="auto"/>
        </w:rPr>
      </w:pPr>
      <w:r>
        <w:rPr>
          <w:rFonts w:ascii="Times New Roman" w:cs="Times New Roman" w:eastAsia="Times New Roman" w:hAnsi="Times New Roman"/>
          <w:sz w:val="18"/>
          <w:szCs w:val="18"/>
          <w:color w:val="231F20"/>
        </w:rPr>
        <w:t>Equity in earnings of unconsolidated joint ventures decreased $17 million, or 87%, primarily due to a $14 million impact from the settlement of a claim for a rail transit project during the three months ended September 30, 2022 that did not re-occur during the three months ended September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assets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Gain on sale of assets was $30 million for the three months ended September 29, 2023, compared to no activity for the three months ended September 30, 2022, driven by the sale of non-core business contracts for $30 million as discussed in Note 5, Property, Plant and Equipment and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(income), net</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Other expense (income), net was $1 million of expense for the three months ended September 29, 2023, compared to $1 million of other income in the three months ended September 30, 2022. Other expense, net in the three months ended September 29, 2023 was primarily related to interest expense on the Revolving Credit Facility while other income during three months ended September 30, 2022 was primarily driven by a change in the fair value of contingent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2023, no taxable income is anticipated for 2023, and no taxable income was recorded for the prior year three months ended, September 30, 2022. Therefore, no income tax expense was recorded for either period.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29, 2023 Compared to the Nine Months Ended September 30, 2022</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data for the nine months ended September 29, 2023 compared to the nine months ended September 30,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39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gridSpan w:val="2"/>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494,744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477,945</w:t>
            </w:r>
          </w:p>
        </w:tc>
        <w:tc>
          <w:tcPr>
            <w:tcW w:w="44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16,799</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4 %</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471,967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459,428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22,777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58,380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(48,810 )</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(84 )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31,749</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(14,835 )</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(48 )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(7,795 )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income tax</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(7,040 )</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(32 )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20,970</w:t>
            </w:r>
          </w:p>
        </w:tc>
        <w:tc>
          <w:tcPr>
            <w:tcW w:w="260" w:type="dxa"/>
            <w:vAlign w:val="bottom"/>
            <w:gridSpan w:val="2"/>
            <w:shd w:val="clear" w:color="auto" w:fill="CFF0FC"/>
          </w:tcPr>
          <w:p>
            <w:pPr>
              <w:spacing w:after="0"/>
              <w:rPr>
                <w:sz w:val="16"/>
                <w:szCs w:val="16"/>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(5,783 )</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(28 )%</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-950595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-950595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-950595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-950595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-950595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income</w:t>
      </w:r>
    </w:p>
    <w:p>
      <w:pPr>
        <w:spacing w:after="0" w:line="1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Net income decreased by $6 million, or 28%, primarily due to lower equity in earnings of unconsolidated joint ventures of $49 million, and increases in selling, general and administrative expenses of $2 million, partially offset by a gain on the sale of non-core business contracts of $30 million, decreases in other expense, net of $8 million, and gross margin increase of $4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Revenue increased $17 million, or 4%, due to a $96 million increase in post-AECOM Sale Transactions jobs as a result of new jobs and jobs ramping up; partially offset by a $79 million decrease in Legacy Jobs from jobs winding down and unfavorable settlement of one of the Legacy Jobs, which includes a decrease of $4 million in legacy loss job revenue due to timing of work performed.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Gross margin</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margin increased $4 million, or 23%, primarily due to management’s shift in job-bidding strategy toward higher margin, lower risk jobs, resulting in a $17 million increase in revenue discussed above, partially offset by an increase of $13 million in cost of revenue primarily due to timing of work performed.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14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Selling, general and administrative expenses increased by $2 million, or 5%, primarily resulting from higher legal, accounting, professional services and other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earnings of unconsolidated joint ventures</w:t>
      </w:r>
    </w:p>
    <w:p>
      <w:pPr>
        <w:spacing w:after="0" w:line="1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Equity in earnings of unconsolidated joint ventures decreased $49 million, or 84%, primarily due to a $56 million impact from the settlement of claims for three infrastructure projects during the nine months ended September 30, 2022 that did not re-occur in the nine months ended September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property, plant and equipment</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Gain on sale of assets increased $32 million primarily driven by the sale of non-core business contracts for $30 million as discussed in Note 5, Property, Plant and Equipment and Intangible Assets as well as a gain on sale of an office building for $2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net</w:t>
      </w:r>
    </w:p>
    <w:p>
      <w:pPr>
        <w:spacing w:after="0" w:line="13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31F20"/>
        </w:rPr>
        <w:t>Other expense, net, decreased $8 million, or 88%, primarily driven by a loss of $10 million due to changes in fair value of contingent consideration from the AECOM Sale Transactions in 2022 compared to no change during 2023, offset primarily by interest expense of $1 million incurred on the Revolving Credit Facility in 2023 compared to no interest expense in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No taxable income is anticipated for 2023, thus no income tax expense was recorded. In 2022, there was approximately $1 million of tax expense after accounting for the utilization of NOL carryforwards.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Financial Measures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income and Adjusted EBITDA.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Adjusted net income represents Net income attributable to Shimmick Corporation adjusted to eliminate changes in fair value of contingent consideration, IPO and transaction-related costs, stock-based compensation, and legal fees and other costs for a legacy loss job.</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included Adjusted net income in this Form 10-Q because it is a key measure used by our management and Board to understand and evaluate our core operating performance and trends, to prepare and approve our annual budget and to develop short and long-term operational plans. In particular, we believe that the exclusion of the income and expenses eliminated in calculating Adjusted net income can provide a useful measure for period-to-period comparisons of our core business. Accordingly, we believe that Adjusted net income provides useful information to investors and others in understanding and evaluating our results of operations.</w:t>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Our use of adjusted net income as an analytical tool has limitations, and you should not consider it in isolation or as a substitute for analysis of our financial results as reported under GAAP. Some of these limitations are:</w:t>
      </w:r>
    </w:p>
    <w:p>
      <w:pPr>
        <w:spacing w:after="0" w:line="6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Adjusted net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31F20"/>
        </w:rPr>
        <w:t xml:space="preserve">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Adjusted net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31F20"/>
        </w:rPr>
        <w:t xml:space="preserve"> does not reflect the potentially dilutive impact of stock-based compensation, and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net income or similarly titled measures differently, which reduces their usefulness as comparative measures.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net income alongside Net income attributable to Shimmick Corporation, which is the most directly comparable GAAP measure.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231F20"/>
        </w:rPr>
        <w:t>Adjusted EBITDA represents our net income attributable to Shimmick Corporation before interest expense (income), income tax expense (benefit) and depreciation and amortization, adjusted to eliminate changes in fair value of contingent consideration, IPO and transaction-related costs, stock-based compensation, and legal fees and other costs for a legacy loss job.</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We have included Adjusted EBITDA in this </w:t>
      </w:r>
      <w:r>
        <w:rPr>
          <w:rFonts w:ascii="Times New Roman" w:cs="Times New Roman" w:eastAsia="Times New Roman" w:hAnsi="Times New Roman"/>
          <w:sz w:val="18"/>
          <w:szCs w:val="18"/>
          <w:color w:val="000000"/>
        </w:rPr>
        <w:t>Form 10-Q</w:t>
      </w:r>
      <w:r>
        <w:rPr>
          <w:rFonts w:ascii="Times New Roman" w:cs="Times New Roman" w:eastAsia="Times New Roman" w:hAnsi="Times New Roman"/>
          <w:sz w:val="18"/>
          <w:szCs w:val="18"/>
          <w:color w:val="231F20"/>
        </w:rPr>
        <w:t xml:space="preserve"> because it is a key measure used by our management and Board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54" w:lineRule="exact"/>
        <w:rPr>
          <w:sz w:val="20"/>
          <w:szCs w:val="20"/>
          <w:color w:val="auto"/>
        </w:rPr>
      </w:pPr>
    </w:p>
    <w:p>
      <w:pPr>
        <w:jc w:val="both"/>
        <w:ind w:left="1020" w:right="28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EBITDA or similarly titled measures differently, which reduces their usefulness as comparative measures.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EBITDA alongside Net income attributable to Shimmick Corporation, which is the most directly comparable GAAP measure. See reconciliation below:</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7"/>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2"/>
                <w:szCs w:val="22"/>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40" w:type="dxa"/>
            <w:vAlign w:val="bottom"/>
          </w:tcPr>
          <w:p>
            <w:pPr>
              <w:spacing w:after="0"/>
              <w:rPr>
                <w:sz w:val="22"/>
                <w:szCs w:val="22"/>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Shimmick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17,966</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14,930</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21,676</w:t>
            </w: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9,556</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and transaction-related costs</w:t>
            </w:r>
          </w:p>
        </w:tc>
        <w:tc>
          <w:tcPr>
            <w:tcW w:w="1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2,739</w:t>
            </w: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1,776</w:t>
            </w:r>
          </w:p>
        </w:tc>
      </w:tr>
      <w:tr>
        <w:trPr>
          <w:trHeight w:val="270"/>
        </w:trPr>
        <w:tc>
          <w:tcPr>
            <w:tcW w:w="5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Legal fees and other costs for a legacy loss job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2,092</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6,346</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8,695</w:t>
            </w:r>
          </w:p>
        </w:tc>
      </w:tr>
      <w:tr>
        <w:trPr>
          <w:trHeight w:val="297"/>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36,662</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21,698</w:t>
            </w:r>
          </w:p>
        </w:tc>
        <w:tc>
          <w:tcPr>
            <w:tcW w:w="160" w:type="dxa"/>
            <w:vAlign w:val="bottom"/>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24,631</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1028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1028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93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939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7"/>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2"/>
                <w:szCs w:val="22"/>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40" w:type="dxa"/>
            <w:vAlign w:val="bottom"/>
          </w:tcPr>
          <w:p>
            <w:pPr>
              <w:spacing w:after="0"/>
              <w:rPr>
                <w:sz w:val="22"/>
                <w:szCs w:val="22"/>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Shimmick Corporation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17,966</w:t>
            </w:r>
          </w:p>
        </w:tc>
        <w:tc>
          <w:tcPr>
            <w:tcW w:w="160" w:type="dxa"/>
            <w:vAlign w:val="bottom"/>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14,930</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21,676</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4,005</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11,856</w:t>
            </w: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w:t>
            </w: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9,556</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and transaction-related costs</w:t>
            </w:r>
          </w:p>
        </w:tc>
        <w:tc>
          <w:tcPr>
            <w:tcW w:w="1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2,739</w:t>
            </w: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1,776</w:t>
            </w:r>
          </w:p>
        </w:tc>
      </w:tr>
      <w:tr>
        <w:trPr>
          <w:trHeight w:val="270"/>
        </w:trPr>
        <w:tc>
          <w:tcPr>
            <w:tcW w:w="5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Legal fees and other costs for a legacy loss job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2,092</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6,346</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8,695</w:t>
            </w:r>
          </w:p>
        </w:tc>
      </w:tr>
      <w:tr>
        <w:trPr>
          <w:trHeight w:val="297"/>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41,712</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25,718</w:t>
            </w:r>
          </w:p>
        </w:tc>
        <w:tc>
          <w:tcPr>
            <w:tcW w:w="160" w:type="dxa"/>
            <w:vAlign w:val="bottom"/>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38,837</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1028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1028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939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93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Consists of legal fees and other costs incurred in connection with claims relating to a legacy loss job.</w:t>
      </w:r>
    </w:p>
    <w:p>
      <w:pPr>
        <w:sectPr>
          <w:pgSz w:w="11900" w:h="16838" w:orient="portrait"/>
          <w:cols w:equalWidth="0" w:num="1">
            <w:col w:w="11240"/>
          </w:cols>
          <w:pgMar w:left="320" w:top="44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Requirements and Sources of Liquidity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29, 2023 our capital expenditures were approximately $6 million compared to $8 million for the nine months ended September 30, 2022.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and, in the future, our integration of any acquisitions and our compliance with laws and rules applicable to being a public company.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w:t>
      </w:r>
    </w:p>
    <w:p>
      <w:pPr>
        <w:spacing w:after="0" w:line="18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regularly monitor potential capital sources, including equity and debt financing, in an effort to meet our planned expenditures and liquidity requirements. Our future success will be highly dependent on our ability to access outside sources of capital.</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 and we believe our strong balance sheet position supports our ability to fulfill our surety bond requirements.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expect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4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29, 2023</w:t>
            </w:r>
          </w:p>
        </w:tc>
        <w:tc>
          <w:tcPr>
            <w:tcW w:w="300" w:type="dxa"/>
            <w:vAlign w:val="bottom"/>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30, 2022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0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30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(315 )</w:t>
            </w:r>
          </w:p>
        </w:tc>
        <w:tc>
          <w:tcPr>
            <w:tcW w:w="8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8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Long-term debt, net</w:t>
            </w:r>
          </w:p>
        </w:tc>
        <w:tc>
          <w:tcPr>
            <w:tcW w:w="20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30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-1002665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-1002665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-685165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a Revolving Credit Facility Agreement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$35 million and bears interest at an annual rate of adjusted term SOFR, subject to a 1.0% floor, plus 4.50%. Further, the Revolving Credit Facility is subject to an annual collateral management fee of 0.50% and an annual unused line fee of 0.50%. Key financial covenants under the Revolving Credit Facility include maintaining a leverage ratio that does not exceed 1.75 to 1.0 and a minimum liquidity of $25 million. The Revolving Credit Facility Agreement matures on March 27, 2028. The Company is not aware of any instances of noncompliance with the key financial covenants as of December 19, 2023.</w:t>
      </w:r>
    </w:p>
    <w:p>
      <w:pPr>
        <w:spacing w:after="0" w:line="18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Following the IPO, we used the net proceeds we received from our IPO, together with cash on hand, to repay all outstanding borrowing under our Revolving Credit Facility. Subsequent to the repayment, we drew $20 million on our Revolving Credit Facility to fund working capital requirements.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had a $25 million Revolving Line of Credit with BMO Harris Bank, N.A., under which the Company had no outstanding borrowings as of September 29, 2023 or December 30, 2022. Borrowings under the Revolving Line of Credit bear interest at a rate based on SOFR or a combination of rates (prime rate, federal fund rate, and SOFR) at the Company’s election, with an added margin depending on the Company’s leverage ratio. The unused balance of the Revolving Line of Credit bears a commitment fee of between 0.25% and 0.40% per year, depending on the Company’s leverage ratio. Key financial covenants under the Revolving Line of Credit include maintaining a leverage ratio that does not exceed 2.0 to 1.0 and a minimum cash balance of $35 million. The Revolving Line of Credit terminated on March 27, 2023 upon the Company entering into the Revolving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Cash Flows Analysis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51"/>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231F20"/>
              </w:rPr>
              <w:t>The following table sets forth our cash flows for the periods indicated:</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2"/>
        </w:trPr>
        <w:tc>
          <w:tcPr>
            <w:tcW w:w="7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(64,776 )</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(5,170 )</w:t>
            </w: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8,751</w:t>
            </w: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32,694</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(855 )</w:t>
            </w: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2,726</w:t>
            </w: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81,903</w:t>
            </w: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63,156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84,629</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-504825</wp:posOffset>
            </wp:positionV>
            <wp:extent cx="85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14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231F20"/>
        </w:rPr>
        <w:t>During the nine months ended September 29, 2023, net cash used in operating activities was $65 million, compared to net cash used in operating activities of $5 million for the nine months ended September 30, 2022. Cash flows used in operating activities were driven by reduced net income, adjusted for various non-cash items and changes in accounts receivable, due from unconsolidated joint ventures, contract assets, accounts payable, contract liabilities and accrued expenses balances (collectively, “Contract Capital”), as discussed below, accrued salaries and wages and other assets and liabilities.</w:t>
      </w:r>
    </w:p>
    <w:p>
      <w:pPr>
        <w:spacing w:after="0" w:line="1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Changes in Contract Capital—The change in operating assets and liabilities varies due to fluctuations and timing in operating activities and Contract Capital. The changes in the components of Contract Capital during the nine months ended September 29, 2023 and September 30, 2022 were as follows: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r>
      <w:tr>
        <w:trPr>
          <w:trHeight w:val="240"/>
        </w:trPr>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(12,012</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80" w:type="dxa"/>
            <w:vAlign w:val="bottom"/>
          </w:tcPr>
          <w:p>
            <w:pPr>
              <w:spacing w:after="0"/>
              <w:rPr>
                <w:sz w:val="19"/>
                <w:szCs w:val="19"/>
                <w:color w:val="auto"/>
              </w:rPr>
            </w:pPr>
          </w:p>
        </w:tc>
      </w:tr>
      <w:tr>
        <w:trPr>
          <w:trHeight w:val="23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from unconsolidated joint ventures</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7,316</w:t>
            </w:r>
          </w:p>
        </w:tc>
        <w:tc>
          <w:tcPr>
            <w:tcW w:w="80" w:type="dxa"/>
            <w:vAlign w:val="bottom"/>
            <w:shd w:val="clear" w:color="auto" w:fill="CFF0FC"/>
          </w:tcPr>
          <w:p>
            <w:pPr>
              <w:spacing w:after="0"/>
              <w:rPr>
                <w:sz w:val="20"/>
                <w:szCs w:val="20"/>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tcPr>
          <w:p>
            <w:pPr>
              <w:spacing w:after="0"/>
              <w:rPr>
                <w:sz w:val="19"/>
                <w:szCs w:val="19"/>
                <w:color w:val="auto"/>
              </w:rPr>
            </w:pP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(10,134 )</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(36,133 )</w:t>
            </w:r>
          </w:p>
        </w:tc>
      </w:tr>
      <w:tr>
        <w:trPr>
          <w:trHeight w:val="23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80" w:type="dxa"/>
            <w:vAlign w:val="bottom"/>
            <w:shd w:val="clear" w:color="auto" w:fill="CFF0FC"/>
          </w:tcPr>
          <w:p>
            <w:pPr>
              <w:spacing w:after="0"/>
              <w:rPr>
                <w:sz w:val="20"/>
                <w:szCs w:val="20"/>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40" w:type="dxa"/>
            <w:vAlign w:val="bottom"/>
          </w:tcPr>
          <w:p>
            <w:pPr>
              <w:spacing w:after="0"/>
              <w:rPr>
                <w:sz w:val="19"/>
                <w:szCs w:val="19"/>
                <w:color w:val="auto"/>
              </w:rPr>
            </w:pP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(41,797 )</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(78,105 )</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(22,042 )</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80" w:type="dxa"/>
            <w:vAlign w:val="bottom"/>
            <w:shd w:val="clear" w:color="auto" w:fill="CFF0FC"/>
          </w:tcPr>
          <w:p>
            <w:pPr>
              <w:spacing w:after="0"/>
              <w:rPr>
                <w:sz w:val="19"/>
                <w:szCs w:val="19"/>
                <w:color w:val="auto"/>
              </w:rPr>
            </w:pPr>
          </w:p>
        </w:tc>
      </w:tr>
      <w:tr>
        <w:trPr>
          <w:trHeight w:val="23"/>
        </w:trPr>
        <w:tc>
          <w:tcPr>
            <w:tcW w:w="59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Changes in Contract Capital,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(61,451 )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(58,136 )</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-179070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231F20"/>
        </w:rPr>
        <w:t>During the nine months ended September 29, 2023, the change in Contract Capital was $61 million, which was primarily driven by decreases in contract liabilities and accrued expenses.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1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For the nine months ended September 29, 2023, net cash provided by investing activities was $13 million, which primarily consisted of cash proceeds from the sale of non-core business contracts of $30 million, proceeds from sale of property, plant and equipment of $5 million ($4 million due to sale of an office building), and return of investment in unconsolidated joint ventures of $4 million, partially offset by unconsolidated joint venture equity contributions of $20 million and purchases of property, plant and equipment of $6 million.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For the nine months ended September 30, 2022, net cash provided by investing activities was $9 million, which primarily consisted of a net working capital settlement in association with the AECOM Sale Transactions of $32 million and proceeds from sale of property, plant and equipment of $4 million, partially offset by unconsolidated joint venture equity contributions of $20 million, and purchases of property, plant and equipment of $8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pacing w:after="0" w:line="1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For the nine months ended September 29, 2023, net cash provided by financing activities was $33 million, which primarily consisted of net proceeds from the Revolving Credit Facility borrowings of $34 million.</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For the nine months ended September 30, 2022, net cash used in financing activities was $1 million, which primarily consisted of distributions to non-controlling interests.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Letters of Credit</w:t>
      </w:r>
    </w:p>
    <w:p>
      <w:pPr>
        <w:spacing w:after="0" w:line="1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We obtain standby letters of credit required by our insurance carriers. At September 29, 2023 and December 30, 2022, the total amount of standby letters of credit outstanding were $0 million and $8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Contractual Obligations</w:t>
      </w:r>
    </w:p>
    <w:p>
      <w:pPr>
        <w:spacing w:after="0" w:line="14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Contractual obligations of the Company consisted of liabilities associated with remaining lease payments for the three months ending December 29, 2023 through the fiscal years ending through December 31, 2027 of approximately $3 million, $10 million, $8 million, $3 million and $2 million, respectively, and approximately $3 million in the aggregate thereafter based on balances outstanding as of September 29,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231F20"/>
        </w:rPr>
        <w:t>As of September 29, 2023, we had a backlog of projects in excess of $1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Backlog by customer type:</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and local agencies</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Federal agencies</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Private owners</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backlog</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28575</wp:posOffset>
            </wp:positionV>
            <wp:extent cx="6060440" cy="163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7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862</w:t>
      </w:r>
    </w:p>
    <w:p>
      <w:pPr>
        <w:spacing w:after="0" w:line="48"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-127635</wp:posOffset>
            </wp:positionV>
            <wp:extent cx="606044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16"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15347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3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-120650</wp:posOffset>
            </wp:positionV>
            <wp:extent cx="6060440"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60440" cy="1797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280" w:space="720"/>
            <w:col w:w="3240"/>
          </w:cols>
          <w:pgMar w:left="320" w:top="13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5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29, 2023</w:t>
            </w:r>
          </w:p>
        </w:tc>
      </w:tr>
      <w:tr>
        <w:trPr>
          <w:trHeight w:val="243"/>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26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r>
      <w:tr>
        <w:trPr>
          <w:trHeight w:val="243"/>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2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5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29, 2023</w:t>
            </w:r>
          </w:p>
        </w:tc>
      </w:tr>
      <w:tr>
        <w:trPr>
          <w:trHeight w:val="236"/>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5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2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2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Estimated Cost to Complete Projects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signed contracts with customers, change orders (approved and unapproved) and claims on those contracts that we conclude to be enforceable under the terms of the signed contracts. Many of the Company’s contracts have one clearly identifiable performance obligation. However, some contracts provide the customer an integrated service that includes two or more of services associated with construction, operations and management. The determination of the number of performance obligations in a contract requires significant judgment and could change the timing of the amount of revenue recorded for a given period.</w:t>
      </w:r>
    </w:p>
    <w:p>
      <w:pPr>
        <w:spacing w:after="0" w:line="2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Determination of the contract price is dependent upon a number of factors, including the accuracy of a variety of estimates made at the balance sheet date, such as estimated costs at completion. Additionally, the Company is required to make estimates for the amount of consideration to be received, including variable compensation such as bonuses, awards, incentive fees, claims, unapproved change</w:t>
      </w:r>
    </w:p>
    <w:p>
      <w:pPr>
        <w:sectPr>
          <w:pgSz w:w="11900" w:h="16838" w:orient="portrait"/>
          <w:cols w:equalWidth="0" w:num="1">
            <w:col w:w="11240"/>
          </w:cols>
          <w:pgMar w:left="320" w:top="131"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orders, unpriced change orders, penalties, and liquidated damages.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makes adjustments accordingly.</w:t>
      </w:r>
    </w:p>
    <w:p>
      <w:pPr>
        <w:spacing w:after="0" w:line="2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(“EAC”)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in the cost of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 during the period the modification occurs and throughout the remainder of the contract.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Recognition</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 The transaction price does not include any amounts collected on behalf of third parties, such as sales tax.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prescribed by the Accounting Standards Codification Topic 740 — Income Taxes (“ASC 740”). This method requires the recognition of deferred tax assets and liabilities for the expected future tax consequences of events that have been included in the condensed consolidated financial statements. Under this method, the Company determines deferred tax assets and liabilities on the basis of the differences between the condensed consolidated financial statements and tax bases of assets and liabilities by using enacted tax rates in effect for the year in which the differences are expected to reverse.</w:t>
      </w:r>
    </w:p>
    <w:p>
      <w:pPr>
        <w:spacing w:after="0" w:line="29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the Prospectus.</w:t>
      </w:r>
    </w:p>
    <w:p>
      <w:pPr>
        <w:spacing w:after="0" w:line="16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40" w:firstLine="8"/>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33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the Chief Executive Officer and Chief Financial Officer, have conducted an evaluation of the effectiveness of the design and operation of our disclosure controls and procedures (as defined in Rules 13a-15(e) and 15d-15(e) under the Exchange Act).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our Chief Financial Officer, concluded that as of September 29, 2023,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76"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As discussed in our “Management’s Discussion and Analysis of Financial Condition and Results of Operations” section in the Prospectus, we identified material weaknesses in our internal control over financial reporting, which relates to the lack of a sufficient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ind w:right="60"/>
        <w:spacing w:after="0" w:line="256" w:lineRule="auto"/>
        <w:rPr>
          <w:sz w:val="20"/>
          <w:szCs w:val="20"/>
          <w:color w:val="auto"/>
        </w:rPr>
      </w:pPr>
      <w:r>
        <w:rPr>
          <w:rFonts w:ascii="Times New Roman" w:cs="Times New Roman" w:eastAsia="Times New Roman" w:hAnsi="Times New Roman"/>
          <w:sz w:val="18"/>
          <w:szCs w:val="18"/>
          <w:color w:val="auto"/>
        </w:rPr>
        <w:t>number of trained resources with assigned responsibilities and accountability for the design and operation of internal controls over financial reporting, lack of formal and effective controls over certain financial statement account balances, and lack of formal and effective controls over the Committee of Sponsoring Organizations of the Treadway Commission (“COSO”) principles including control environment, risk assessment, control activities, information and communications and monitoring which resulted in material adjustments in the preparation of our condensed consolidated financial statements as of and for the six months ended June 30, 2023 and July 1, 2022 and consolidated financial statements as of and for the fiscal years ended December 30, 2022 and December 31, 2021.</w:t>
      </w:r>
    </w:p>
    <w:p>
      <w:pPr>
        <w:spacing w:after="0" w:line="18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weaknesses, 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remediate the material weaknesses, we underwent an IPO readiness assessment which included a controls gap analysis.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our current staff, which has changed over the last 12 months, possess public accounting reporting experience to prepare and report on complete and accurate financial statements. We have designed and implemented new entity level controls, information system general controls and financial reporting controls including estimate at completion (revenue), payroll, treasury/cash, property, plant and equipment and leases.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the results of the IPO readiness assessment and management’s internal assessment, we designed and implemented key controls over financial reporting during the three months ended September 29, 2023. However, given the limited number of quarters since implementing the remediation plan such remediation has not been fully evidenced. Material weaknesses cannot be considered fully remediated until the improved controls have been in place and operate for a sufficient period of time to enable management to test and to conclude on the operating effectiveness of the controls.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the exception of the controls implemented in response to the material weaknesses identified above, there were no changes to our internal control over financial reporting during the three months ended September 29, 2023 that have materially affected, or that are reasonably likely to materially affect, our internal controls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11 (Commitments and Contingencies), to the unaudited condensed consolidated financial statements included in Part I, Item 1 of this Form 10-Q.</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Prospectus.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16, 2023, we completed our IPO, in which we issued and sold 3,575,000 shares of our common stock at an initial public offering price of $7.00 per share. We raised net proceeds of approximately $19 million, after deducting the underwriting discount of $2 million and offering expenses of $4 million. All shares sold in our IPO were registered pursuant to a registration statement on Form S-1 (File No. 333-274870), as amended (the “Registration Statement”), declared effective by the SEC on November 13, 2023. Roth Capital Partners, LLC acted as representative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contemplated in the Registration Statement, we used the net proceeds of the offering, together with cash on hand, to repay all outstanding borrowing under our Revolving Credit Facility. There were no material change in the use of the net proceeds from our IPO from the expected use of proceeds described in the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60" w:type="dxa"/>
            <w:vAlign w:val="bottom"/>
            <w:gridSpan w:val="4"/>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4"/>
                <w:szCs w:val="14"/>
                <w:color w:val="auto"/>
              </w:rPr>
            </w:pPr>
          </w:p>
        </w:tc>
        <w:tc>
          <w:tcPr>
            <w:tcW w:w="1018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0"/>
                <w:szCs w:val="20"/>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490" w:lineRule="auto"/>
        <w:tabs>
          <w:tab w:leader="none" w:pos="10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12344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79" w:lineRule="exact"/>
        <w:rPr>
          <w:sz w:val="20"/>
          <w:szCs w:val="20"/>
          <w:color w:val="auto"/>
        </w:rPr>
      </w:pPr>
    </w:p>
    <w:p>
      <w:pPr>
        <w:ind w:left="20"/>
        <w:spacing w:after="0"/>
        <w:tabs>
          <w:tab w:leader="none" w:pos="5660" w:val="left"/>
          <w:tab w:leader="none" w:pos="7780" w:val="left"/>
        </w:tabs>
        <w:rPr>
          <w:sz w:val="20"/>
          <w:szCs w:val="20"/>
          <w:color w:val="auto"/>
        </w:rPr>
      </w:pPr>
      <w:r>
        <w:rPr>
          <w:rFonts w:ascii="Times New Roman" w:cs="Times New Roman" w:eastAsia="Times New Roman" w:hAnsi="Times New Roman"/>
          <w:sz w:val="18"/>
          <w:szCs w:val="18"/>
          <w:color w:val="auto"/>
        </w:rPr>
        <w:t>Date: December 19,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Devin J. Nordhagen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Devin J. Nordhagen</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Richards,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19, 2023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776"/>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Devin J. Nordhagen,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19, 2023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 J. Nordhagen</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Devin J. Nordhagen</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560"/>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ending September 29,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19, 2023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561"/>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ending September 29,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19, 2023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 J. Nordhagen</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Devin J. Nordhagen</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777"/>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2023-12-19T16:41:55Z</dcterms:created>
  <dcterms:modified xsi:type="dcterms:W3CDTF">2023-12-19T16:41:55Z</dcterms:modified>
</cp:coreProperties>
</file>