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shim-20250704.htm"/>
      <w:bookmarkStart w:id="1" w:name="ksshim20250704"/>
      <w:bookmarkEnd w:id="0"/>
      <w:bookmarkEnd w:id="1"/>
      <w:r>
        <w:rPr>
          <w:rFonts w:ascii="Times New Roman" w:hAnsi="Times New Roman"/>
          <w:color w:val="000000"/>
          <w:sz w:val="2"/>
        </w:rPr>
        <w:t>fROC</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July 4,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001-41867</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Shimmick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 xml:space="preserve">530 Technology Drive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(833) 723-2021</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12, 2025, the registrant had 35,273,591</w:t>
      </w:r>
      <w:r>
        <w:rPr>
          <w:rFonts w:ascii="Times New Roman" w:hAnsi="Times New Roman"/>
          <w:color w:val="000000"/>
          <w:sz w:val="20"/>
        </w:rPr>
        <w:t xml:space="preserve"> </w:t>
      </w:r>
      <w:r>
        <w:rPr>
          <w:rFonts w:ascii="Times New Roman" w:hAnsi="Times New Roman"/>
          <w:color w:val="000000"/>
          <w:sz w:val="18"/>
        </w:rPr>
        <w:t>shares of Common Stock, par value $0.01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“Forward Looking Statements” and “Risk Factors” in our Annual Report on Form 10-K for the fiscal year ended January 3, 2025 ("Form 10-K") and those described from time to time in our future reports with the Securities and Exchange Commission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risks, requirements or costs when we bid on or negotiate a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qualifying as an eligible bidder for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qualified personnel, joint venture partners and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attract and retain qualified managers and skilled employees and the impact of loss of key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costs to lease, acquire and maintain equipment necessary for our operations or a decline in the market value of owned equipment,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subcontractors failing to satisfy their obligations to us or other parties or any inability to maintain subcontractor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marketplace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bonding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as an independent company following our separation from our prior owner,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 and transactions with our prior owner,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prior owner defaulting on its contractual obligations to us or under agreements in which we are beneficiary,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subcontractors and suppliers of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secure sufficient aggregates,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complete a merger or acquisition or to integrate an acquired company’s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our capacity related to specialized, high-performance electrical and power distribution</w:t>
        <w:br/>
        <w:t>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adjustments in our contact backlog,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our revenue and costs involves significant estimates, as does our use of the input method of revenue recognition based on costs incurred relative to total 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impairments,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comply with covenants under any current indebtedness, and future indebtedness we may incur,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adequacy of sources of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legal or regulatory proceedings to which we are, or may become a party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attacks against, disruptions, failures or security breaches of, our information technology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seasonality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and public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commodity products price fluctuations, inflation (and actions taken by monetary authorities in response to inflation) and/or elevated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under environmental laws, compliance with immigration laws, and other regulatory matters, including changes in regulations and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climate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deterioration of the U.S.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potential impact of retaliatory tariffs and other actions, changes to tax legislation, including the passage of the One Big Beautiful Bill Act, and potential changes to the amounts provided for under the Infrastructure Investment and Jobs Act, as well as other legislation and executive orders related to governmental spending,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risks, including those related to the war between Russia and Ukraine, the conflict in the Gaza strip, and the conflict in the Red Sea region.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ps">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equity">
              <w:r>
                <w:rPr>
                  <w:rStyle w:val="InternetLink"/>
                  <w:rFonts w:ascii="Times New Roman" w:hAnsi="Times New Roman"/>
                  <w:color w:val="0000FF"/>
                  <w:sz w:val="20"/>
                  <w:u w:val="single"/>
                </w:rPr>
                <w:t>Condensed Consolidated Statements of Stockholders'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c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_cons_fins_stmt">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56"/>
        <w:gridCol w:w="146"/>
        <w:gridCol w:w="196"/>
        <w:gridCol w:w="691"/>
        <w:gridCol w:w="166"/>
        <w:gridCol w:w="146"/>
        <w:gridCol w:w="197"/>
        <w:gridCol w:w="695"/>
        <w:gridCol w:w="212"/>
      </w:tblGrid>
      <w:tr>
        <w:trPr/>
        <w:tc>
          <w:tcPr>
            <w:tcW w:w="7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as of July 4, 2025 and January 3, 2025; 35,248,424</w:t>
            </w:r>
            <w:r>
              <w:rPr>
                <w:rFonts w:ascii="Times New Roman" w:hAnsi="Times New Roman"/>
                <w:color w:val="000000"/>
                <w:sz w:val="20"/>
              </w:rPr>
              <w:t> </w:t>
            </w:r>
            <w:r>
              <w:rPr>
                <w:rFonts w:ascii="Times New Roman" w:hAnsi="Times New Roman"/>
                <w:color w:val="000000"/>
                <w:sz w:val="16"/>
              </w:rPr>
              <w:t>and 34,271,214</w:t>
            </w:r>
            <w:r>
              <w:rPr>
                <w:rFonts w:ascii="Times New Roman" w:hAnsi="Times New Roman"/>
                <w:color w:val="000000"/>
                <w:sz w:val="20"/>
              </w:rPr>
              <w:t> </w:t>
            </w:r>
            <w:r>
              <w:rPr>
                <w:rFonts w:ascii="Times New Roman" w:hAnsi="Times New Roman"/>
                <w:color w:val="000000"/>
                <w:sz w:val="16"/>
              </w:rPr>
              <w:t>shares issued and outstanding as of July 4, 2025 and January 3,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(78,211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233,864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5" w:name="condensed_consolidated_statements_of_op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(loss)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6" w:name="condensed_consolidated_stmt_of_equity"/>
      <w:bookmarkEnd w:id="6"/>
      <w:r>
        <w:rPr>
          <w:rFonts w:ascii="Times New Roman" w:hAnsi="Times New Roman"/>
          <w:b/>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9750" w:type="dxa"/>
        <w:jc w:val="left"/>
        <w:tblInd w:w="0" w:type="dxa"/>
        <w:tblLayout w:type="fixed"/>
        <w:tblCellMar>
          <w:top w:w="28" w:type="dxa"/>
          <w:left w:w="28" w:type="dxa"/>
          <w:bottom w:w="28" w:type="dxa"/>
          <w:right w:w="28" w:type="dxa"/>
        </w:tblCellMar>
      </w:tblPr>
      <w:tblGrid>
        <w:gridCol w:w="2026"/>
        <w:gridCol w:w="146"/>
        <w:gridCol w:w="146"/>
        <w:gridCol w:w="916"/>
        <w:gridCol w:w="146"/>
        <w:gridCol w:w="146"/>
        <w:gridCol w:w="236"/>
        <w:gridCol w:w="455"/>
        <w:gridCol w:w="146"/>
        <w:gridCol w:w="146"/>
        <w:gridCol w:w="214"/>
        <w:gridCol w:w="657"/>
        <w:gridCol w:w="146"/>
        <w:gridCol w:w="146"/>
        <w:gridCol w:w="196"/>
        <w:gridCol w:w="661"/>
        <w:gridCol w:w="166"/>
        <w:gridCol w:w="146"/>
        <w:gridCol w:w="405"/>
        <w:gridCol w:w="901"/>
        <w:gridCol w:w="166"/>
        <w:gridCol w:w="146"/>
        <w:gridCol w:w="246"/>
        <w:gridCol w:w="834"/>
        <w:gridCol w:w="21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34,331,514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35,248,424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08"/>
        <w:gridCol w:w="146"/>
        <w:gridCol w:w="146"/>
        <w:gridCol w:w="916"/>
        <w:gridCol w:w="146"/>
        <w:gridCol w:w="146"/>
        <w:gridCol w:w="236"/>
        <w:gridCol w:w="455"/>
        <w:gridCol w:w="146"/>
        <w:gridCol w:w="146"/>
        <w:gridCol w:w="214"/>
        <w:gridCol w:w="657"/>
        <w:gridCol w:w="146"/>
        <w:gridCol w:w="146"/>
        <w:gridCol w:w="305"/>
        <w:gridCol w:w="1031"/>
        <w:gridCol w:w="166"/>
        <w:gridCol w:w="146"/>
        <w:gridCol w:w="405"/>
        <w:gridCol w:w="901"/>
        <w:gridCol w:w="166"/>
        <w:gridCol w:w="146"/>
        <w:gridCol w:w="244"/>
        <w:gridCol w:w="828"/>
        <w:gridCol w:w="213"/>
      </w:tblGrid>
      <w:tr>
        <w:trPr/>
        <w:tc>
          <w:tcPr>
            <w:tcW w:w="2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25,738,857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4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38,118</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33,709,919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9930" w:type="dxa"/>
        <w:jc w:val="left"/>
        <w:tblInd w:w="0" w:type="dxa"/>
        <w:tblLayout w:type="fixed"/>
        <w:tblCellMar>
          <w:top w:w="28" w:type="dxa"/>
          <w:left w:w="28" w:type="dxa"/>
          <w:bottom w:w="28" w:type="dxa"/>
          <w:right w:w="28" w:type="dxa"/>
        </w:tblCellMar>
      </w:tblPr>
      <w:tblGrid>
        <w:gridCol w:w="2206"/>
        <w:gridCol w:w="146"/>
        <w:gridCol w:w="146"/>
        <w:gridCol w:w="916"/>
        <w:gridCol w:w="146"/>
        <w:gridCol w:w="146"/>
        <w:gridCol w:w="236"/>
        <w:gridCol w:w="455"/>
        <w:gridCol w:w="146"/>
        <w:gridCol w:w="146"/>
        <w:gridCol w:w="214"/>
        <w:gridCol w:w="657"/>
        <w:gridCol w:w="146"/>
        <w:gridCol w:w="146"/>
        <w:gridCol w:w="196"/>
        <w:gridCol w:w="661"/>
        <w:gridCol w:w="166"/>
        <w:gridCol w:w="146"/>
        <w:gridCol w:w="405"/>
        <w:gridCol w:w="901"/>
        <w:gridCol w:w="166"/>
        <w:gridCol w:w="146"/>
        <w:gridCol w:w="246"/>
        <w:gridCol w:w="834"/>
        <w:gridCol w:w="2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4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35,248,424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73"/>
        <w:gridCol w:w="146"/>
        <w:gridCol w:w="146"/>
        <w:gridCol w:w="916"/>
        <w:gridCol w:w="146"/>
        <w:gridCol w:w="146"/>
        <w:gridCol w:w="236"/>
        <w:gridCol w:w="455"/>
        <w:gridCol w:w="146"/>
        <w:gridCol w:w="146"/>
        <w:gridCol w:w="214"/>
        <w:gridCol w:w="657"/>
        <w:gridCol w:w="146"/>
        <w:gridCol w:w="146"/>
        <w:gridCol w:w="270"/>
        <w:gridCol w:w="913"/>
        <w:gridCol w:w="166"/>
        <w:gridCol w:w="146"/>
        <w:gridCol w:w="405"/>
        <w:gridCol w:w="901"/>
        <w:gridCol w:w="166"/>
        <w:gridCol w:w="146"/>
        <w:gridCol w:w="241"/>
        <w:gridCol w:w="819"/>
        <w:gridCol w:w="213"/>
      </w:tblGrid>
      <w:tr>
        <w:trPr/>
        <w:tc>
          <w:tcPr>
            <w:tcW w:w="2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29,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25,493,877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7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4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70,490</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8,216,042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33,709,919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7" w:name="condensed_consolidated_statements_of_c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264" w:type="dxa"/>
        <w:jc w:val="left"/>
        <w:tblInd w:w="0" w:type="dxa"/>
        <w:tblLayout w:type="fixed"/>
        <w:tblCellMar>
          <w:top w:w="28" w:type="dxa"/>
          <w:left w:w="28" w:type="dxa"/>
          <w:bottom w:w="28" w:type="dxa"/>
          <w:right w:w="28" w:type="dxa"/>
        </w:tblCellMar>
      </w:tblPr>
      <w:tblGrid>
        <w:gridCol w:w="5281"/>
        <w:gridCol w:w="146"/>
        <w:gridCol w:w="196"/>
        <w:gridCol w:w="661"/>
        <w:gridCol w:w="166"/>
        <w:gridCol w:w="146"/>
        <w:gridCol w:w="196"/>
        <w:gridCol w:w="661"/>
        <w:gridCol w:w="81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 (earnings) loss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Return on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(78,848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Unconsolidated joint venture equity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Return of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Borrowings on credit and loan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on credit and loan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repayments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37,834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63,910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to 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Condensed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8" w:name="notes_to_unaudited_cond_cons_fins_stmt"/>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Business and Organization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 and began operating as an independent company under new private ownership (the "AECOM Sale Transaction"). In November 2023, we completed our initial public offering (the “IPO”) and currently our stock is listed for trading on the Nasdaq Capital Market under the symbol "SHIM".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Shimmick Corporation and its subsidiaries (“Shimmick”, “we”, “our”, “us”, “its” or the “Company”), unless otherwise indicated.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2. Basis of Presentation and Summary of Significant Accounting Policies</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United States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Certain information and footnote disclosures normally included in financial statements prepared in accordance with GAAP have been condensed or omitted in accordance with such rules and regulations, although management believes the disclosures are adequate to prevent the information presented from being misleading. The accompanying condensed consolidated financial statements are unaudited and should be read in conjunction with the audited consolidated financial statements and notes in our Annual Report on Form 10-K for the fiscal year ended January 3, 2025 ("Form 10-K"). Because of the seasonal nature of some of the Company's operations, the results of operations for the three and six months ended July 4, 2025 are not necessarily indicative of the results of operations to be expected for the full fiscal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 in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prior period balances in the condensed consolidated statements of operations and accompanying notes have been combined, reclassified or rounded to conform to current period presentation. These changes had no impact on net loss, cash flows, assets and liabilities or deficit previously reported.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described in more detail in Note 2 - Basis of Presentation and Summary of Significant Accounting Policies of our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our condensed consolidated financial statements in conformity with GAAP requires management to make estimates and assumptions that affect the reported amounts included in the condensed consolidated financial statements and accompanying notes thereto. Actual results could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Accounting pronouncements not listed below were assessed and determined to be not applicable or are expected to have minimal impact on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Improvements to Income Tax Disclosures, which requires disaggregation of certain components included in the Company’s effective tax rate and income taxes paid disclosures. The guidance is effective for annual periods beginning after December 15, 2024, with early adoption permitted. The Company is currently evaluating the effects adoption of this guidance will have on the consolidated financial statements and related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which requires public companies to disclose additional information about certain expenses in the notes to financial statements, enhancing transparency and providing more detailed insights for investors and other stakeholders. This guidance is effective for annual periods beginning after December 15, 2026, and quarterly periods thereafter. The Company is currently evaluating the effects adoption of this guidance will have on the condensed consolidated financial statements and related disclosures.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3. Revenue, Receivables and Contract Assets and Liabilities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revenue disaggregated by contract types:</w:t>
      </w:r>
    </w:p>
    <w:p>
      <w:pPr>
        <w:pStyle w:val="TextBody"/>
        <w:bidi w:val="0"/>
        <w:jc w:val="left"/>
        <w:rPr/>
      </w:pPr>
      <w:r>
        <w:rPr/>
        <w:t> </w:t>
      </w:r>
    </w:p>
    <w:tbl>
      <w:tblPr>
        <w:tblW w:w="7597" w:type="dxa"/>
        <w:jc w:val="left"/>
        <w:tblInd w:w="0" w:type="dxa"/>
        <w:tblLayout w:type="fixed"/>
        <w:tblCellMar>
          <w:top w:w="28" w:type="dxa"/>
          <w:left w:w="28" w:type="dxa"/>
          <w:bottom w:w="28" w:type="dxa"/>
          <w:right w:w="28" w:type="dxa"/>
        </w:tblCellMar>
      </w:tblPr>
      <w:tblGrid>
        <w:gridCol w:w="2521"/>
        <w:gridCol w:w="146"/>
        <w:gridCol w:w="211"/>
        <w:gridCol w:w="781"/>
        <w:gridCol w:w="146"/>
        <w:gridCol w:w="146"/>
        <w:gridCol w:w="211"/>
        <w:gridCol w:w="676"/>
        <w:gridCol w:w="146"/>
        <w:gridCol w:w="146"/>
        <w:gridCol w:w="211"/>
        <w:gridCol w:w="781"/>
        <w:gridCol w:w="146"/>
        <w:gridCol w:w="146"/>
        <w:gridCol w:w="211"/>
        <w:gridCol w:w="78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labor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360"/>
        <w:jc w:val="left"/>
        <w:rPr>
          <w:rFonts w:ascii="Times New Roman" w:hAnsi="Times New Roman"/>
          <w:color w:val="231F20"/>
          <w:sz w:val="20"/>
        </w:rPr>
      </w:pPr>
      <w:r>
        <w:rPr>
          <w:rFonts w:ascii="Times New Roman" w:hAnsi="Times New Roman"/>
          <w:color w:val="231F20"/>
          <w:sz w:val="20"/>
        </w:rPr>
        <w:t xml:space="preserve">Projects started after prior ownership ("Shimmick Projects") have focused on critical infrastructure aligned with our strategy, including water, climate resilience, energy transition and sustainable transportation. Projects that started under prior ownership or focus on foundation drilling are referred to as "Non-Core Projects" (formerly referred to as "Legacy and Foundations Projects"). </w:t>
      </w:r>
    </w:p>
    <w:p>
      <w:pPr>
        <w:pStyle w:val="TextBody"/>
        <w:bidi w:val="0"/>
        <w:jc w:val="left"/>
        <w:rPr>
          <w:rFonts w:ascii="Times New Roman" w:hAnsi="Times New Roman"/>
          <w:color w:val="231F20"/>
          <w:sz w:val="20"/>
        </w:rPr>
      </w:pPr>
      <w:r>
        <w:rPr>
          <w:rFonts w:ascii="Times New Roman" w:hAnsi="Times New Roman"/>
          <w:color w:val="231F20"/>
          <w:sz w:val="20"/>
        </w:rPr>
        <w:t>The following table presents the Company’s revenue disaggregated by Shimmick Projects and Non-Core Projects:</w:t>
      </w:r>
    </w:p>
    <w:p>
      <w:pPr>
        <w:pStyle w:val="TextBody"/>
        <w:bidi w:val="0"/>
        <w:spacing w:before="160" w:after="283"/>
        <w:jc w:val="left"/>
        <w:rPr/>
      </w:pPr>
      <w:r>
        <w:rPr/>
        <w:t> </w:t>
      </w:r>
    </w:p>
    <w:tbl>
      <w:tblPr>
        <w:tblW w:w="6712" w:type="dxa"/>
        <w:jc w:val="left"/>
        <w:tblInd w:w="0" w:type="dxa"/>
        <w:tblLayout w:type="fixed"/>
        <w:tblCellMar>
          <w:top w:w="28" w:type="dxa"/>
          <w:left w:w="28" w:type="dxa"/>
          <w:bottom w:w="28" w:type="dxa"/>
          <w:right w:w="28" w:type="dxa"/>
        </w:tblCellMar>
      </w:tblPr>
      <w:tblGrid>
        <w:gridCol w:w="1636"/>
        <w:gridCol w:w="146"/>
        <w:gridCol w:w="211"/>
        <w:gridCol w:w="781"/>
        <w:gridCol w:w="146"/>
        <w:gridCol w:w="146"/>
        <w:gridCol w:w="211"/>
        <w:gridCol w:w="676"/>
        <w:gridCol w:w="146"/>
        <w:gridCol w:w="146"/>
        <w:gridCol w:w="211"/>
        <w:gridCol w:w="781"/>
        <w:gridCol w:w="146"/>
        <w:gridCol w:w="146"/>
        <w:gridCol w:w="211"/>
        <w:gridCol w:w="78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Remaining performance obligations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had $607 million of remaining performance obligations yet to be satisfied as of July 4, 2025. Our remaining performance obligations have a weighted average life of 2.2 years as of July 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Contract Balances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78"/>
        <w:gridCol w:w="146"/>
        <w:gridCol w:w="211"/>
        <w:gridCol w:w="736"/>
        <w:gridCol w:w="166"/>
        <w:gridCol w:w="146"/>
        <w:gridCol w:w="211"/>
        <w:gridCol w:w="841"/>
        <w:gridCol w:w="166"/>
        <w:gridCol w:w="146"/>
        <w:gridCol w:w="211"/>
        <w:gridCol w:w="736"/>
        <w:gridCol w:w="211"/>
      </w:tblGrid>
      <w:tr>
        <w:trPr/>
        <w:tc>
          <w:tcPr>
            <w:tcW w:w="6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Costs and estimated earnings in excess of billings on uncompleted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Retainage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Billings on uncompleted contracts in excess of costs and estimated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Forward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231F20"/>
          <w:sz w:val="20"/>
        </w:rPr>
      </w:pPr>
      <w:r>
        <w:rPr>
          <w:rFonts w:ascii="Times New Roman" w:hAnsi="Times New Roman"/>
          <w:color w:val="231F20"/>
          <w:sz w:val="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condensed consolidated balance sheets within “Contract assets, current,” “Contract assets, non-current,” “Contract liabilities, current" and “Contract liabilities, non-current." A certain portion of our retainage receivable contract asset balance is non-current, and therefore is not presented on a net basis against the associated contract liabilities that are current. Costs and estimated earnings in excess of billings on uncompleted contracts consists of revenue recognized in excess of billings.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Billings on uncompleted contracts in excess of costs and estimated earnings consists of billings in excess of revenue recognized. The Company recognized revenue </w:t>
      </w:r>
      <w:r>
        <w:rPr>
          <w:rFonts w:ascii="Times New Roman" w:hAnsi="Times New Roman"/>
          <w:color w:val="000000"/>
          <w:sz w:val="20"/>
        </w:rPr>
        <w:t xml:space="preserve">of $30 </w:t>
      </w:r>
      <w:r>
        <w:rPr>
          <w:rFonts w:ascii="Times New Roman" w:hAnsi="Times New Roman"/>
          <w:color w:val="231F20"/>
          <w:sz w:val="20"/>
        </w:rPr>
        <w:t>million during the six months ended July 4, 2025 that was included in contract liabilities as of January 3, 2025.</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pStyle w:val="TextBody"/>
        <w:bidi w:val="0"/>
        <w:jc w:val="left"/>
        <w:rPr/>
      </w:pPr>
      <w:r>
        <w:rPr/>
        <w:t> </w:t>
      </w:r>
    </w:p>
    <w:tbl>
      <w:tblPr>
        <w:tblW w:w="5292"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42"/>
        <w:gridCol w:w="778"/>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Substantially all contract assets as of July 4, 2025 and January 3, 2025 are expected to be collected within the Company’s estimated operating cycle, except for retainage and claims pertaining to certain contracts. The Company’s operating cycle may extend beyond one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With respect to one Non-Core Project, the Company continues to discuss potential change orders and/or changes in scope to the project, each of which or in the aggregate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potential to materially impact the Company’s results of operations. The Company may take legal action if it and the customer cannot reach a mutually acceptable resolution. Additionally, the Company is continuing the anticipated wind down of an operation and maintenance contract which the Company expects will be completed in the third quarter of fiscal year 2025. </w:t>
      </w:r>
    </w:p>
    <w:p>
      <w:pPr>
        <w:pStyle w:val="TextBody"/>
        <w:bidi w:val="0"/>
        <w:spacing w:before="360" w:after="283"/>
        <w:jc w:val="left"/>
        <w:rPr>
          <w:rFonts w:ascii="Times New Roman" w:hAnsi="Times New Roman"/>
          <w:sz w:val="20"/>
        </w:rPr>
      </w:pPr>
      <w:r>
        <w:rPr>
          <w:rFonts w:ascii="Times New Roman" w:hAnsi="Times New Roman"/>
          <w:i/>
          <w:color w:val="000000"/>
          <w:sz w:val="20"/>
        </w:rPr>
        <w:t>Information about significant customers</w:t>
      </w:r>
      <w:r>
        <w:rPr>
          <w:rFonts w:ascii="Times New Roman" w:hAnsi="Times New Roman"/>
          <w:color w:val="000000"/>
          <w:sz w:val="20"/>
        </w:rPr>
        <w:t xml:space="preserve"> </w:t>
      </w:r>
    </w:p>
    <w:p>
      <w:pPr>
        <w:pStyle w:val="TextBody"/>
        <w:bidi w:val="0"/>
        <w:jc w:val="left"/>
        <w:rPr/>
      </w:pPr>
      <w:r>
        <w:rPr/>
        <w:t> </w:t>
      </w:r>
    </w:p>
    <w:tbl>
      <w:tblPr>
        <w:tblW w:w="6684" w:type="dxa"/>
        <w:jc w:val="left"/>
        <w:tblInd w:w="0" w:type="dxa"/>
        <w:tblLayout w:type="fixed"/>
        <w:tblCellMar>
          <w:top w:w="28" w:type="dxa"/>
          <w:left w:w="28" w:type="dxa"/>
          <w:bottom w:w="28" w:type="dxa"/>
          <w:right w:w="28" w:type="dxa"/>
        </w:tblCellMar>
      </w:tblPr>
      <w:tblGrid>
        <w:gridCol w:w="5716"/>
        <w:gridCol w:w="146"/>
        <w:gridCol w:w="631"/>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Accounts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four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July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Revisions in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contract estimates resulted in net decreases in gross margin of $5 million and $9 million for the three and six months ended July 4, 2025, respectively, primarily due to cost increases related to delays and lower productivity on a federal lock and dam Non-Core Project. </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Changes in contract estimates resulted in net decreases in gross margin of $33 million for the three months ended June 28, 2024, primarily due to a settlement on a federal lock and dam Non-Core Project and increased forecasted cost to complete loss jobs. Changes in contract estimates resulted in net decreases in gross margin of $51 million for the six months ended June 28, 2024, primarily due to the settlement and increased forecasted cost to complete loss jobs.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Note 4. Joint Ventures and Variable Interest Entities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financial information of the consolidated joint ventures is as follows: </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921"/>
        <w:gridCol w:w="146"/>
        <w:gridCol w:w="211"/>
        <w:gridCol w:w="676"/>
        <w:gridCol w:w="146"/>
        <w:gridCol w:w="146"/>
        <w:gridCol w:w="242"/>
        <w:gridCol w:w="778"/>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818" w:type="dxa"/>
        <w:jc w:val="left"/>
        <w:tblInd w:w="0" w:type="dxa"/>
        <w:tblLayout w:type="fixed"/>
        <w:tblCellMar>
          <w:top w:w="28" w:type="dxa"/>
          <w:left w:w="28" w:type="dxa"/>
          <w:bottom w:w="28" w:type="dxa"/>
          <w:right w:w="28" w:type="dxa"/>
        </w:tblCellMar>
      </w:tblPr>
      <w:tblGrid>
        <w:gridCol w:w="1306"/>
        <w:gridCol w:w="146"/>
        <w:gridCol w:w="213"/>
        <w:gridCol w:w="577"/>
        <w:gridCol w:w="147"/>
        <w:gridCol w:w="147"/>
        <w:gridCol w:w="218"/>
        <w:gridCol w:w="592"/>
        <w:gridCol w:w="146"/>
        <w:gridCol w:w="146"/>
        <w:gridCol w:w="211"/>
        <w:gridCol w:w="676"/>
        <w:gridCol w:w="146"/>
        <w:gridCol w:w="146"/>
        <w:gridCol w:w="218"/>
        <w:gridCol w:w="592"/>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assets of the Company’s consolidated joint ventures are restricted for use only by the particular joint venture and are not available for the general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financial information of the unconsolidated joint ventures, as derived from their financial statements, is as follows:</w:t>
      </w:r>
    </w:p>
    <w:p>
      <w:pPr>
        <w:pStyle w:val="TextBody"/>
        <w:bidi w:val="0"/>
        <w:jc w:val="left"/>
        <w:rPr/>
      </w:pPr>
      <w:r>
        <w:rPr/>
        <w:t> </w:t>
      </w:r>
    </w:p>
    <w:tbl>
      <w:tblPr>
        <w:tblW w:w="4342" w:type="dxa"/>
        <w:jc w:val="left"/>
        <w:tblInd w:w="0" w:type="dxa"/>
        <w:tblLayout w:type="fixed"/>
        <w:tblCellMar>
          <w:top w:w="28" w:type="dxa"/>
          <w:left w:w="28" w:type="dxa"/>
          <w:bottom w:w="28" w:type="dxa"/>
          <w:right w:w="28" w:type="dxa"/>
        </w:tblCellMar>
      </w:tblPr>
      <w:tblGrid>
        <w:gridCol w:w="1606"/>
        <w:gridCol w:w="146"/>
        <w:gridCol w:w="211"/>
        <w:gridCol w:w="676"/>
        <w:gridCol w:w="146"/>
        <w:gridCol w:w="146"/>
        <w:gridCol w:w="242"/>
        <w:gridCol w:w="778"/>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6237" w:type="dxa"/>
        <w:jc w:val="left"/>
        <w:tblInd w:w="0" w:type="dxa"/>
        <w:tblLayout w:type="fixed"/>
        <w:tblCellMar>
          <w:top w:w="28" w:type="dxa"/>
          <w:left w:w="28" w:type="dxa"/>
          <w:bottom w:w="28" w:type="dxa"/>
          <w:right w:w="28" w:type="dxa"/>
        </w:tblCellMar>
      </w:tblPr>
      <w:tblGrid>
        <w:gridCol w:w="1396"/>
        <w:gridCol w:w="146"/>
        <w:gridCol w:w="211"/>
        <w:gridCol w:w="676"/>
        <w:gridCol w:w="166"/>
        <w:gridCol w:w="146"/>
        <w:gridCol w:w="211"/>
        <w:gridCol w:w="676"/>
        <w:gridCol w:w="166"/>
        <w:gridCol w:w="146"/>
        <w:gridCol w:w="211"/>
        <w:gridCol w:w="676"/>
        <w:gridCol w:w="166"/>
        <w:gridCol w:w="146"/>
        <w:gridCol w:w="211"/>
        <w:gridCol w:w="676"/>
        <w:gridCol w:w="21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recognized equity in (loss) earnings of unconsolidated joint ventures of $(0.2) million and $0.5 million for the three and six months ended July 4, 2025, respectively, and equity in loss of unconsolidated joint ventures of $2 million for the three and six months ended June 28, 2024.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Contractually required support provided to the Company’s joint ventures is discussed in Note 11 - Commitments and Contingencies.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i/>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pStyle w:val="TextBody"/>
        <w:bidi w:val="0"/>
        <w:spacing w:before="120" w:after="283"/>
        <w:jc w:val="left"/>
        <w:rPr/>
      </w:pPr>
      <w:r>
        <w:rPr/>
        <w:t> </w:t>
      </w:r>
    </w:p>
    <w:tbl>
      <w:tblPr>
        <w:tblW w:w="5649" w:type="dxa"/>
        <w:jc w:val="left"/>
        <w:tblInd w:w="0" w:type="dxa"/>
        <w:tblLayout w:type="fixed"/>
        <w:tblCellMar>
          <w:top w:w="28" w:type="dxa"/>
          <w:left w:w="28" w:type="dxa"/>
          <w:bottom w:w="28" w:type="dxa"/>
          <w:right w:w="28" w:type="dxa"/>
        </w:tblCellMar>
      </w:tblPr>
      <w:tblGrid>
        <w:gridCol w:w="1306"/>
        <w:gridCol w:w="146"/>
        <w:gridCol w:w="254"/>
        <w:gridCol w:w="507"/>
        <w:gridCol w:w="176"/>
        <w:gridCol w:w="176"/>
        <w:gridCol w:w="270"/>
        <w:gridCol w:w="540"/>
        <w:gridCol w:w="146"/>
        <w:gridCol w:w="146"/>
        <w:gridCol w:w="225"/>
        <w:gridCol w:w="450"/>
        <w:gridCol w:w="153"/>
        <w:gridCol w:w="153"/>
        <w:gridCol w:w="270"/>
        <w:gridCol w:w="54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5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included in the condensed consolidated balance sheets related to services provided to unconsolidated joint ventures as of July 4, 2025 and January 3, 2025 are as follows:</w:t>
      </w:r>
    </w:p>
    <w:p>
      <w:pPr>
        <w:pStyle w:val="TextBody"/>
        <w:bidi w:val="0"/>
        <w:jc w:val="left"/>
        <w:rPr/>
      </w:pPr>
      <w:r>
        <w:rPr/>
        <w:t> </w:t>
      </w:r>
    </w:p>
    <w:tbl>
      <w:tblPr>
        <w:tblW w:w="4547"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74"/>
        <w:gridCol w:w="74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5. Property, Plant and Equipment and Intangible Assets</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components of property, plant and equipment as of July 4, 2025 and January 3, 2025 and depreciation expense for the three and six months ended July 4, 2025 and June 28,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75"/>
        <w:gridCol w:w="746"/>
        <w:gridCol w:w="211"/>
        <w:gridCol w:w="736"/>
        <w:gridCol w:w="1166"/>
        <w:gridCol w:w="1146"/>
        <w:gridCol w:w="225"/>
        <w:gridCol w:w="788"/>
        <w:gridCol w:w="812"/>
      </w:tblGrid>
      <w:tr>
        <w:trPr/>
        <w:tc>
          <w:tcPr>
            <w:tcW w:w="43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vehicles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51,967</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51,227</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software and construction in progress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plant and equipment, gross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59,014</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58,274</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(44,345</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(39,142</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plant and equipment,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14,669</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19,132</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3"/>
        <w:gridCol w:w="146"/>
        <w:gridCol w:w="211"/>
        <w:gridCol w:w="571"/>
        <w:gridCol w:w="1146"/>
        <w:gridCol w:w="1146"/>
        <w:gridCol w:w="217"/>
        <w:gridCol w:w="590"/>
        <w:gridCol w:w="146"/>
        <w:gridCol w:w="146"/>
        <w:gridCol w:w="211"/>
        <w:gridCol w:w="571"/>
        <w:gridCol w:w="1146"/>
        <w:gridCol w:w="1146"/>
        <w:gridCol w:w="217"/>
        <w:gridCol w:w="590"/>
        <w:gridCol w:w="192"/>
      </w:tblGrid>
      <w:tr>
        <w:trPr/>
        <w:tc>
          <w:tcPr>
            <w:tcW w:w="1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present the Company’s finite-lived intangible assets, including the weighted average useful lives for each major intangible asset category and in total:</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334"/>
        <w:gridCol w:w="146"/>
        <w:gridCol w:w="773"/>
        <w:gridCol w:w="1917"/>
        <w:gridCol w:w="146"/>
        <w:gridCol w:w="146"/>
        <w:gridCol w:w="366"/>
        <w:gridCol w:w="1176"/>
        <w:gridCol w:w="146"/>
        <w:gridCol w:w="146"/>
        <w:gridCol w:w="404"/>
        <w:gridCol w:w="1415"/>
        <w:gridCol w:w="166"/>
        <w:gridCol w:w="146"/>
        <w:gridCol w:w="387"/>
        <w:gridCol w:w="1050"/>
        <w:gridCol w:w="146"/>
        <w:gridCol w:w="195"/>
      </w:tblGrid>
      <w:tr>
        <w:trPr/>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5"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48"/>
        <w:gridCol w:w="146"/>
        <w:gridCol w:w="1126"/>
        <w:gridCol w:w="1632"/>
        <w:gridCol w:w="146"/>
        <w:gridCol w:w="146"/>
        <w:gridCol w:w="371"/>
        <w:gridCol w:w="1193"/>
        <w:gridCol w:w="146"/>
        <w:gridCol w:w="146"/>
        <w:gridCol w:w="409"/>
        <w:gridCol w:w="1433"/>
        <w:gridCol w:w="166"/>
        <w:gridCol w:w="146"/>
        <w:gridCol w:w="392"/>
        <w:gridCol w:w="1064"/>
        <w:gridCol w:w="195"/>
      </w:tblGrid>
      <w:tr>
        <w:trPr/>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estimated aggregate remaining amortization is as follows:</w:t>
      </w:r>
    </w:p>
    <w:p>
      <w:pPr>
        <w:pStyle w:val="TextBody"/>
        <w:bidi w:val="0"/>
        <w:jc w:val="left"/>
        <w:rPr/>
      </w:pPr>
      <w:r>
        <w:rPr/>
        <w:t> </w:t>
      </w:r>
    </w:p>
    <w:tbl>
      <w:tblPr>
        <w:tblW w:w="2889" w:type="dxa"/>
        <w:jc w:val="left"/>
        <w:tblInd w:w="0" w:type="dxa"/>
        <w:tblLayout w:type="fixed"/>
        <w:tblCellMar>
          <w:top w:w="28" w:type="dxa"/>
          <w:left w:w="28" w:type="dxa"/>
          <w:bottom w:w="28" w:type="dxa"/>
          <w:right w:w="28" w:type="dxa"/>
        </w:tblCellMar>
      </w:tblPr>
      <w:tblGrid>
        <w:gridCol w:w="1306"/>
        <w:gridCol w:w="146"/>
        <w:gridCol w:w="336"/>
        <w:gridCol w:w="91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outstanding on the condensed consolidated balance sheets is comprised of the following:</w:t>
      </w:r>
    </w:p>
    <w:p>
      <w:pPr>
        <w:pStyle w:val="TextBody"/>
        <w:bidi w:val="0"/>
        <w:spacing w:before="120" w:after="283"/>
        <w:jc w:val="left"/>
        <w:rPr/>
      </w:pPr>
      <w:r>
        <w:rPr/>
        <w:t> </w:t>
      </w:r>
    </w:p>
    <w:tbl>
      <w:tblPr>
        <w:tblW w:w="9555" w:type="dxa"/>
        <w:jc w:val="left"/>
        <w:tblInd w:w="0" w:type="dxa"/>
        <w:tblLayout w:type="fixed"/>
        <w:tblCellMar>
          <w:top w:w="28" w:type="dxa"/>
          <w:left w:w="28" w:type="dxa"/>
          <w:bottom w:w="28" w:type="dxa"/>
          <w:right w:w="28" w:type="dxa"/>
        </w:tblCellMar>
      </w:tblPr>
      <w:tblGrid>
        <w:gridCol w:w="3061"/>
        <w:gridCol w:w="746"/>
        <w:gridCol w:w="271"/>
        <w:gridCol w:w="869"/>
        <w:gridCol w:w="1166"/>
        <w:gridCol w:w="1146"/>
        <w:gridCol w:w="353"/>
        <w:gridCol w:w="1132"/>
        <w:gridCol w:w="811"/>
      </w:tblGrid>
      <w:tr>
        <w:trPr/>
        <w:tc>
          <w:tcPr>
            <w:tcW w:w="30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36,373</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August 8, 2025 to, among other things, permit the Company’s concurrent amendment to the Revolving Credit Facility and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third quarter of 2026. The Credit Agreement also contains representations and warranties and event of default provisions customary for a transaction of this type. The</w:t>
        <w:br/>
        <w:t>Company is not aware of any instances of noncompliance with non-financial or financial covenants as of July 4,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July 4, 2025,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w:t>
        <w:br/>
        <w:t>guaranty agreement (each, a “Guaranty Agreement,” and together, the “Guaranty Agreements”) in favor of the Ansley Park</w:t>
        <w:br/>
        <w:t>Capital LLC unconditionally guaranteeing our liabilities and the liabilities of one of our wholly-owned subsidiaries under the</w:t>
        <w:br/>
        <w:t xml:space="preserve">Ansley Loan Agreement. As of July 4, 2025, we are not aware of any instances of noncompliance with non-financial or financial covenants.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27, 2023, we entered into the Revolving Credit Facility with MidCap Financial Services, LLC, which originally provided a total commitment of $30 million. The Revolving Credit Facility was terminated on March 12, 2025 upon execution of the ACF Credit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July 4, 2025, the Company paid $1 million in cash interest and accrued $2 million in non-cash payment-in-kind interest as of July 4, 2025.</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Income Taxes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compute the year-to-date income tax provision by applying our estimated annual effective tax rate to our year-to-date pre-tax income and adjust for discrete tax items in the period in which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tax rate was 0% for the six months ended July 4, 2025 and June 28,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July 4, 2025, the deferred tax provision resulting from the current year loss is completely offset by the valuation allowance, resulting in zero tax expense. For the six months ended June 28, 2024, the deferred tax provision resulting from the loss was completely offset by the valuation allowance, resulting in zero tax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pStyle w:val="TextBody"/>
        <w:bidi w:val="0"/>
        <w:spacing w:before="240" w:after="283"/>
        <w:jc w:val="left"/>
        <w:rPr>
          <w:rFonts w:ascii="Times New Roman" w:hAnsi="Times New Roman"/>
          <w:sz w:val="20"/>
        </w:rPr>
      </w:pPr>
      <w:r>
        <w:rPr>
          <w:rFonts w:ascii="Times New Roman" w:hAnsi="Times New Roman"/>
          <w:i/>
          <w:color w:val="000000"/>
          <w:sz w:val="20"/>
        </w:rPr>
        <w:t>Deferred Tax Assets and Liabilities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the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weighing all the evidence, giving more weight to the evidence that was objectively verifiable, a valuation allowance of $175 million and $170 million as of July 4, 2025 and January 3, 2025,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President signed into law the One Big Beautiful Bill Act ("OBBBA") which includes various modifications to the federal tax law and other regulatory provisions. Among its provisions, it retroactively reinstates 100% bonus depreciation for qualified property placed in service on or after January 20, 2025. The Company has evaluated the provisions in the OBBBA and determined that the bonus depreciation provision of the OBBBA could have a material impact on the Company's future income tax expense. However, this change will be entirely offset by the full valuation allowance, and therefore, will not impact income tax expense.</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8. Stock-Based Compensation</w:t>
      </w:r>
    </w:p>
    <w:p>
      <w:pPr>
        <w:pStyle w:val="TextBody"/>
        <w:bidi w:val="0"/>
        <w:jc w:val="left"/>
        <w:rPr>
          <w:rFonts w:ascii="Times New Roman" w:hAnsi="Times New Roman"/>
          <w:color w:val="000000"/>
          <w:sz w:val="20"/>
        </w:rPr>
      </w:pPr>
      <w:r>
        <w:rPr>
          <w:rFonts w:ascii="Times New Roman" w:hAnsi="Times New Roman"/>
          <w:color w:val="000000"/>
          <w:sz w:val="20"/>
        </w:rPr>
        <w:t>On April 12, 2021, the Company’s Board of Directors (the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Company’s Board approved the Shimmick Corporation 2023 Equity Incentive Plan (the “2023 Omnibus Incentive Plan”). 3,729,149 was the maximum aggregate number of shares of Common Stock available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automatically increases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compensation expense related to stock-based grants was $3 million and $2 million for the six months ended July 4, 2025 and June 28, 2024, respectively. Unrecognized compensation expense related to stock-based grants to employees of Shimmick outstanding was $4 million and $5 million as of July 4, 2025 and June 28, 2024, respectively, to be recognized on a straight-line basis over the awards’ weighted average remaining vesting period of 0.8 years as of July 4, 2025 and June 28,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July 4, 2025, stock option activity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6"/>
        <w:gridCol w:w="146"/>
        <w:gridCol w:w="164"/>
        <w:gridCol w:w="1114"/>
        <w:gridCol w:w="166"/>
        <w:gridCol w:w="146"/>
        <w:gridCol w:w="555"/>
        <w:gridCol w:w="1229"/>
        <w:gridCol w:w="146"/>
        <w:gridCol w:w="146"/>
        <w:gridCol w:w="529"/>
        <w:gridCol w:w="1171"/>
        <w:gridCol w:w="146"/>
        <w:gridCol w:w="146"/>
        <w:gridCol w:w="641"/>
        <w:gridCol w:w="1589"/>
        <w:gridCol w:w="395"/>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Options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years of remaining contractual term</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 &amp;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July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activities for unvested Shimmick restricted stock units for the six months ended July 4, 2025:</w:t>
      </w:r>
    </w:p>
    <w:p>
      <w:pPr>
        <w:pStyle w:val="TextBody"/>
        <w:bidi w:val="0"/>
        <w:spacing w:before="240" w:after="283"/>
        <w:jc w:val="left"/>
        <w:rPr/>
      </w:pPr>
      <w:r>
        <w:rPr/>
        <w:t> </w:t>
      </w:r>
    </w:p>
    <w:tbl>
      <w:tblPr>
        <w:tblW w:w="8515" w:type="dxa"/>
        <w:jc w:val="left"/>
        <w:tblInd w:w="0" w:type="dxa"/>
        <w:tblLayout w:type="fixed"/>
        <w:tblCellMar>
          <w:top w:w="28" w:type="dxa"/>
          <w:left w:w="28" w:type="dxa"/>
          <w:bottom w:w="28" w:type="dxa"/>
          <w:right w:w="28" w:type="dxa"/>
        </w:tblCellMar>
      </w:tblPr>
      <w:tblGrid>
        <w:gridCol w:w="2641"/>
        <w:gridCol w:w="146"/>
        <w:gridCol w:w="215"/>
        <w:gridCol w:w="1375"/>
        <w:gridCol w:w="166"/>
        <w:gridCol w:w="146"/>
        <w:gridCol w:w="1069"/>
        <w:gridCol w:w="2366"/>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July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9. Earnings Per Share</w:t>
      </w:r>
    </w:p>
    <w:p>
      <w:pPr>
        <w:pStyle w:val="TextBody"/>
        <w:bidi w:val="0"/>
        <w:jc w:val="left"/>
        <w:rPr>
          <w:rFonts w:ascii="Times New Roman" w:hAnsi="Times New Roman"/>
          <w:color w:val="000000"/>
          <w:sz w:val="20"/>
        </w:rPr>
      </w:pPr>
      <w:r>
        <w:rPr>
          <w:rFonts w:ascii="Times New Roman" w:hAnsi="Times New Roman"/>
          <w:color w:val="000000"/>
          <w:sz w:val="20"/>
        </w:rPr>
        <w:t xml:space="preserve">Basic earnings per share (“EPS”) is calculated based on the weighted average shares outstanding during the period. Diluted earnings per share includes the dilutive effect of employee and director stock options and restricted stock units. Stock options are considered dilutive whenever the exercise price is less than the average market price of the stock during the period and antidilutive whenever the exercise price exceeds the average market price of the common stock during the period. All 2.1 million and 3.5 million employee stock options as of the six months ended July 4, 2025 and June 28, 2024, respectively, and 2.6 million and 1 million restricted stock units as of July 4, 2025 and June 28, 2024, respectively, were excluded from the calculation of diluted earnings per share as they are antidilutive to the EPS calculation.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computation of basic and diluted EPS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8"/>
        <w:gridCol w:w="346"/>
        <w:gridCol w:w="236"/>
        <w:gridCol w:w="759"/>
        <w:gridCol w:w="166"/>
        <w:gridCol w:w="146"/>
        <w:gridCol w:w="242"/>
        <w:gridCol w:w="846"/>
        <w:gridCol w:w="366"/>
        <w:gridCol w:w="346"/>
        <w:gridCol w:w="229"/>
        <w:gridCol w:w="800"/>
        <w:gridCol w:w="166"/>
        <w:gridCol w:w="146"/>
        <w:gridCol w:w="242"/>
        <w:gridCol w:w="846"/>
        <w:gridCol w:w="415"/>
      </w:tblGrid>
      <w:tr>
        <w:trPr/>
        <w:tc>
          <w:tcPr>
            <w:tcW w:w="39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data)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 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basic and diluted EPS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(84,722</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EPS - weighted average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26,817</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potential common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EPS - adjusted weighted average shares and assumed conversions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26,817</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common share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expenses recorded within the condensed consolidated statements of operations are comprised as follows:</w:t>
      </w:r>
    </w:p>
    <w:p>
      <w:pPr>
        <w:pStyle w:val="TextBody"/>
        <w:bidi w:val="0"/>
        <w:jc w:val="left"/>
        <w:rPr/>
      </w:pPr>
      <w:r>
        <w:rPr/>
        <w:t> </w:t>
      </w:r>
    </w:p>
    <w:tbl>
      <w:tblPr>
        <w:tblW w:w="11488" w:type="dxa"/>
        <w:jc w:val="left"/>
        <w:tblInd w:w="0" w:type="dxa"/>
        <w:tblLayout w:type="fixed"/>
        <w:tblCellMar>
          <w:top w:w="28" w:type="dxa"/>
          <w:left w:w="28" w:type="dxa"/>
          <w:bottom w:w="28" w:type="dxa"/>
          <w:right w:w="28" w:type="dxa"/>
        </w:tblCellMar>
      </w:tblPr>
      <w:tblGrid>
        <w:gridCol w:w="1491"/>
        <w:gridCol w:w="1146"/>
        <w:gridCol w:w="309"/>
        <w:gridCol w:w="837"/>
        <w:gridCol w:w="146"/>
        <w:gridCol w:w="1146"/>
        <w:gridCol w:w="344"/>
        <w:gridCol w:w="802"/>
        <w:gridCol w:w="146"/>
        <w:gridCol w:w="1146"/>
        <w:gridCol w:w="309"/>
        <w:gridCol w:w="837"/>
        <w:gridCol w:w="146"/>
        <w:gridCol w:w="1146"/>
        <w:gridCol w:w="344"/>
        <w:gridCol w:w="802"/>
        <w:gridCol w:w="391"/>
      </w:tblGrid>
      <w:tr>
        <w:trPr/>
        <w:tc>
          <w:tcPr>
            <w:tcW w:w="149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 (all in 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Additional condensed consolidated balance sheets information related to leases is as follows:</w:t>
      </w:r>
    </w:p>
    <w:p>
      <w:pPr>
        <w:pStyle w:val="TextBody"/>
        <w:bidi w:val="0"/>
        <w:jc w:val="left"/>
        <w:rPr/>
      </w:pPr>
      <w:r>
        <w:rPr/>
        <w:t> </w:t>
      </w:r>
    </w:p>
    <w:tbl>
      <w:tblPr>
        <w:tblW w:w="12079" w:type="dxa"/>
        <w:jc w:val="left"/>
        <w:tblInd w:w="0" w:type="dxa"/>
        <w:tblLayout w:type="fixed"/>
        <w:tblCellMar>
          <w:top w:w="28" w:type="dxa"/>
          <w:left w:w="28" w:type="dxa"/>
          <w:bottom w:w="28" w:type="dxa"/>
          <w:right w:w="28" w:type="dxa"/>
        </w:tblCellMar>
      </w:tblPr>
      <w:tblGrid>
        <w:gridCol w:w="1466"/>
        <w:gridCol w:w="1646"/>
        <w:gridCol w:w="1646"/>
        <w:gridCol w:w="1646"/>
        <w:gridCol w:w="391"/>
        <w:gridCol w:w="1255"/>
        <w:gridCol w:w="146"/>
        <w:gridCol w:w="1646"/>
        <w:gridCol w:w="391"/>
        <w:gridCol w:w="1255"/>
        <w:gridCol w:w="591"/>
      </w:tblGrid>
      <w:tr>
        <w:trPr/>
        <w:tc>
          <w:tcPr>
            <w:tcW w:w="146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 average remaining lease term information related to leases is as follows:</w:t>
      </w:r>
    </w:p>
    <w:p>
      <w:pPr>
        <w:pStyle w:val="TextBody"/>
        <w:bidi w:val="0"/>
        <w:jc w:val="left"/>
        <w:rPr/>
      </w:pPr>
      <w:r>
        <w:rPr/>
        <w:t> </w:t>
      </w:r>
    </w:p>
    <w:tbl>
      <w:tblPr>
        <w:tblW w:w="6205" w:type="dxa"/>
        <w:jc w:val="left"/>
        <w:tblInd w:w="0" w:type="dxa"/>
        <w:tblLayout w:type="fixed"/>
        <w:tblCellMar>
          <w:top w:w="28" w:type="dxa"/>
          <w:left w:w="28" w:type="dxa"/>
          <w:bottom w:w="28" w:type="dxa"/>
          <w:right w:w="28" w:type="dxa"/>
        </w:tblCellMar>
      </w:tblPr>
      <w:tblGrid>
        <w:gridCol w:w="4171"/>
        <w:gridCol w:w="146"/>
        <w:gridCol w:w="676"/>
        <w:gridCol w:w="146"/>
        <w:gridCol w:w="106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4.3</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6.9%</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cash flow information related to leases is as follows:</w:t>
      </w:r>
    </w:p>
    <w:p>
      <w:pPr>
        <w:pStyle w:val="TextBody"/>
        <w:bidi w:val="0"/>
        <w:jc w:val="left"/>
        <w:rPr/>
      </w:pPr>
      <w:r>
        <w:rPr/>
        <w:t> </w:t>
      </w:r>
    </w:p>
    <w:tbl>
      <w:tblPr>
        <w:tblW w:w="8487" w:type="dxa"/>
        <w:jc w:val="left"/>
        <w:tblInd w:w="0" w:type="dxa"/>
        <w:tblLayout w:type="fixed"/>
        <w:tblCellMar>
          <w:top w:w="28" w:type="dxa"/>
          <w:left w:w="28" w:type="dxa"/>
          <w:bottom w:w="28" w:type="dxa"/>
          <w:right w:w="28" w:type="dxa"/>
        </w:tblCellMar>
      </w:tblPr>
      <w:tblGrid>
        <w:gridCol w:w="5866"/>
        <w:gridCol w:w="346"/>
        <w:gridCol w:w="211"/>
        <w:gridCol w:w="571"/>
        <w:gridCol w:w="146"/>
        <w:gridCol w:w="146"/>
        <w:gridCol w:w="218"/>
        <w:gridCol w:w="592"/>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remaining lease payments under both the Company’s operating and finance leases are as follows:</w:t>
      </w:r>
    </w:p>
    <w:p>
      <w:pPr>
        <w:pStyle w:val="TextBody"/>
        <w:bidi w:val="0"/>
        <w:jc w:val="left"/>
        <w:rPr/>
      </w:pPr>
      <w:r>
        <w:rPr/>
        <w:t> </w:t>
      </w:r>
    </w:p>
    <w:tbl>
      <w:tblPr>
        <w:tblW w:w="5158" w:type="dxa"/>
        <w:jc w:val="left"/>
        <w:tblInd w:w="0" w:type="dxa"/>
        <w:tblLayout w:type="fixed"/>
        <w:tblCellMar>
          <w:top w:w="28" w:type="dxa"/>
          <w:left w:w="28" w:type="dxa"/>
          <w:bottom w:w="28" w:type="dxa"/>
          <w:right w:w="28" w:type="dxa"/>
        </w:tblCellMar>
      </w:tblPr>
      <w:tblGrid>
        <w:gridCol w:w="2551"/>
        <w:gridCol w:w="146"/>
        <w:gridCol w:w="232"/>
        <w:gridCol w:w="744"/>
        <w:gridCol w:w="166"/>
        <w:gridCol w:w="146"/>
        <w:gridCol w:w="211"/>
        <w:gridCol w:w="571"/>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jc w:val="left"/>
        <w:rPr>
          <w:rFonts w:ascii="Times New Roman" w:hAnsi="Times New Roman"/>
          <w:color w:val="000000"/>
          <w:sz w:val="20"/>
        </w:rPr>
      </w:pPr>
      <w:r>
        <w:rPr>
          <w:rFonts w:ascii="Times New Roman" w:hAnsi="Times New Roman"/>
          <w:color w:val="000000"/>
          <w:sz w:val="20"/>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July 4, 2025 and January 3, 2025, and believes that the ultimate resolution of such matters will not materially affect the Company's condensed consolidated financial position, results of operations, or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2025, a labor management committee affiliated with the Pipefitters Union filed a lawsuit against Shimmick and 10 other defendants, including sureties, alleging violations of the California False Claims Act and related claims. The lawsuit involves 27 projects across 23 public agencies in California, none of which are parties to the case. The Pipefitters Union alleges $4.7 billion in damages, which is based on the cumulative contract values for each project, plus treble damages under the California False Claims Act. The Union alleges Shimmick improperly assigned work to the Laborers Union instead of the Pipefitters Union and violated apprenticeship rules by failing to meet the required apprentice-to-journeyperson work ratio. Shimmick denies all claims, and asserts exceptions and disclosures occurred such that the claims have no merit. Shimmick also disputes the legal theory underlying the case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and views the use of the False Claims Act as a misapplication of the statute. The process of discovery and evaluation is in its early stages and it is too early to assess if any loss is probable.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recorded contingent consideration as of July 4, 2025 and January 3, 2025 at its estimated fair value. The Company is unable to reasonably determine an estimated range of amounts of the payments that could be made due to the uncertainty of future events.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typically indemnifies contract owners for claims arising during the construction process and carries insurance coverage for such claims.</w:t>
      </w:r>
    </w:p>
    <w:p>
      <w:pPr>
        <w:pStyle w:val="TextBody"/>
        <w:bidi w:val="0"/>
        <w:spacing w:before="360" w:after="283"/>
        <w:jc w:val="left"/>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and under certain contracts, the Company is required to post standby letters of credit for its insurance carriers. The Company did not have any letters of credit outstanding as of July 4, 2025 or January 3,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Form 10-Q, particularly in “Forward-Looking Statements” or in other sections of this Form 10-Q, as well as the “Risk Factors” section in the Form 10-K and those described from time to time in our future reports with the SEC. This discussion should be read in conjunction with our unaudited condensed consolidated financial statements and the notes thereto included elsewhere in this Form 10-Q.</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long history of successfully completing complex water projects, ranging from the world’s largest wastewater recycling and purification system in California to the iconic Hoover Dam. According to Engineering News Record, in 2024, we are nationally ranked as a top ten builder of water supply (#8), dams and reservoirs (#6), and water treatment and desalination plants (#7). Our business includes construction operations from Morrison Knudsen and Washington Group International which were consolidated in 2017 by AECOM. In 2021, we were sold by AECOM and became an independent company under new private ownership ("AECOM Sale Transaction"). In November 2023, we completed our initial public offering (the “IPO”) and currently our stock is listed for trading on the Nasdaq Capital Market under the symbol "SHIM". </w:t>
      </w:r>
    </w:p>
    <w:p>
      <w:pPr>
        <w:pStyle w:val="TextBody"/>
        <w:bidi w:val="0"/>
        <w:jc w:val="left"/>
        <w:rPr>
          <w:rFonts w:ascii="Times New Roman" w:hAnsi="Times New Roman"/>
          <w:color w:val="000000"/>
          <w:sz w:val="20"/>
        </w:rPr>
      </w:pPr>
      <w:r>
        <w:rPr>
          <w:rFonts w:ascii="Times New Roman" w:hAnsi="Times New Roman"/>
          <w:color w:val="000000"/>
          <w:sz w:val="20"/>
        </w:rPr>
        <w:br/>
        <w:t xml:space="preserve">We selectively focus on the following types of infrastructure projects: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Water Treatment and Resources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Water and Wastewater Treatment</w:t>
      </w:r>
      <w:r>
        <w:rPr>
          <w:rFonts w:ascii="Times New Roman" w:hAnsi="Times New Roman"/>
          <w:color w:val="000000"/>
          <w:sz w:val="20"/>
        </w:rPr>
        <w:t>. We expand, rehabilitate, upgrade, build and rebuild water and wastewater treatment infrastructure 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Water Resources</w:t>
      </w:r>
      <w:r>
        <w:rPr>
          <w:rFonts w:ascii="Times New Roman" w:hAnsi="Times New Roman"/>
          <w:color w:val="000000"/>
          <w:sz w:val="20"/>
        </w:rPr>
        <w:t>. We construct, rehabilitate and upgrade dams, reservoirs, and water conveyance and storage systems. This includes flood control systems, pump stations, and coastal protection infrastructure.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Critical Infrastructure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Climate Resilience.</w:t>
      </w:r>
      <w:r>
        <w:rPr>
          <w:color w:val="000000"/>
        </w:rPr>
        <w:t xml:space="preserve"> </w:t>
      </w:r>
      <w:r>
        <w:rPr>
          <w:rFonts w:ascii="Times New Roman" w:hAnsi="Times New Roman"/>
          <w:color w:val="000000"/>
          <w:sz w:val="20"/>
        </w:rPr>
        <w:t>We build and upgrade levees, flood walls, pump stations, drainage systems, and strengthen existing infrastructure both in preparation to withstand severe weather events and in response to such events to facilitate recovery.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Transportation and Mobility</w:t>
      </w:r>
      <w:r>
        <w:rPr>
          <w:rFonts w:ascii="Times New Roman" w:hAnsi="Times New Roman"/>
          <w:color w:val="000000"/>
          <w:sz w:val="20"/>
        </w:rPr>
        <w:t>. We construct mass transit systems (light passenger rail and bus rapid transit), autonomous transportation solutions (personal rapid transit, autonomous fixed guideway people movers, and implement intelligent transportation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Energy Transition</w:t>
      </w:r>
      <w:r>
        <w:rPr>
          <w:rFonts w:ascii="Times New Roman" w:hAnsi="Times New Roman"/>
          <w:color w:val="000000"/>
          <w:sz w:val="20"/>
        </w:rPr>
        <w:t xml:space="preserve">. We modify facilities to accommodate electric vehicle fleets for transit agencies and municipalities, implement renewable energy components in our projects, and support data center construction.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July 4, 2025, we had a backlog of projects of approximately $652 million, mostly located in California, with ongoing projects in six other states. We self-perform many of these projects, which we believe allows us to better control critical aspects of construction, reduce cost and schedule risks, and deliver greater value to clients.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History and Initial Public Offering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2021, we were sold by AECOM and began operating as an independent company under new private ownership ("AECOM Sale Transaction") under a December 2020 Purchase Agreement with SCC Group, a special purpose entity formed for the purpose of entering into and consummating the sale transaction including acquiring 100% of the stock of the Company and certain other assets related to our business and our subsidiaries to the extent owned by Seller Entities or their affiliates. After the transaction, we began a transformation to shift our strategy to meet the nation’s growing need for water and other critical infrastructure and grow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Shimmick’s common stock began trading on November 14, 2023 and is currently listed for trading on the Nasdaq Capital Market under the symbol "SHIM".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Key Factors Affecting Our Performance and Results of Operations</w:t>
      </w:r>
    </w:p>
    <w:p>
      <w:pPr>
        <w:pStyle w:val="TextBody"/>
        <w:bidi w:val="0"/>
        <w:jc w:val="left"/>
        <w:rPr/>
      </w:pPr>
      <w:r>
        <w:rPr/>
        <w:t> </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We expect that our results of operations will be affected by a number of factors which we have discussed below. </w:t>
      </w:r>
    </w:p>
    <w:p>
      <w:pPr>
        <w:pStyle w:val="TextBody"/>
        <w:bidi w:val="0"/>
        <w:jc w:val="left"/>
        <w:rPr>
          <w:rFonts w:ascii="Times New Roman" w:hAnsi="Times New Roman"/>
          <w:sz w:val="20"/>
        </w:rPr>
      </w:pPr>
      <w:r>
        <w:rPr>
          <w:rFonts w:ascii="Times New Roman" w:hAnsi="Times New Roman"/>
          <w:i/>
          <w:color w:val="231F20"/>
          <w:sz w:val="20"/>
        </w:rPr>
        <w:t xml:space="preserve">Weather, natural disasters and emergencies. </w:t>
      </w:r>
      <w:r>
        <w:rPr>
          <w:rFonts w:ascii="Times New Roman" w:hAnsi="Times New Roman"/>
          <w:color w:val="231F20"/>
          <w:sz w:val="20"/>
        </w:rPr>
        <w:t xml:space="preserve">The results of our business in a given period can be impacted by adverse weather conditions, severe weather 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Seasonality. </w:t>
      </w:r>
      <w:r>
        <w:rPr>
          <w:rFonts w:ascii="Times New Roman" w:hAnsi="Times New Roman"/>
          <w:color w:val="231F20"/>
          <w:sz w:val="20"/>
        </w:rPr>
        <w:t xml:space="preserve">Typically, our revenue is lowest in the first quarter of the year because cold, snowy or wet conditions can create challenging working 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i/>
          <w:color w:val="231F20"/>
          <w:sz w:val="20"/>
        </w:rPr>
        <w:t>Our Ability to Fulfill Backlog Orders</w:t>
      </w:r>
      <w:r>
        <w:rPr>
          <w:rFonts w:ascii="Times New Roman" w:hAnsi="Times New Roman"/>
          <w:color w:val="231F20"/>
          <w:sz w:val="20"/>
        </w:rPr>
        <w:t xml:space="preserve">. Our backlog consists of the estimated amount of services to be completed from future work on uncompleted 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231F20"/>
          <w:sz w:val="20"/>
        </w:rPr>
        <w:t xml:space="preserve">Our Ability to Obtain New Projects. </w:t>
      </w:r>
      <w:r>
        <w:rPr>
          <w:rFonts w:ascii="Times New Roman" w:hAnsi="Times New Roman"/>
          <w:color w:val="231F20"/>
          <w:sz w:val="20"/>
        </w:rPr>
        <w:t>We selectively bid on projects that we believe offer an opportunity to meet our profitability objectives or that offer the 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pStyle w:val="TextBody"/>
        <w:bidi w:val="0"/>
        <w:jc w:val="left"/>
        <w:rPr>
          <w:rFonts w:ascii="Times New Roman" w:hAnsi="Times New Roman"/>
          <w:sz w:val="20"/>
        </w:rPr>
      </w:pPr>
      <w:r>
        <w:rPr>
          <w:rFonts w:ascii="Times New Roman" w:hAnsi="Times New Roman"/>
          <w:i/>
          <w:color w:val="231F20"/>
          <w:sz w:val="20"/>
        </w:rPr>
        <w:t>Our Ability to Successfully Expand our Footprint</w:t>
      </w:r>
      <w:r>
        <w:rPr>
          <w:rFonts w:ascii="Times New Roman" w:hAnsi="Times New Roman"/>
          <w:color w:val="231F20"/>
          <w:sz w:val="20"/>
        </w:rPr>
        <w:t>. We review our bidding opportunities to attempt to minimize concentration of work with any one 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or collaborative contract proposal, where contracts are awarded based on a combination of technical qualifications, proposed project team, schedule, the ability to obtain surety bonds, past performance on similar projects and price, which we believe creates a barrier to entry. Many of our contracts are awarded on a fixed-price basis, and we earn and recognize revenue using an input measure of total costs incurred divided by total costs expected to be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Obtain Approval of Change Orders and Successfully Pursue Claims.</w:t>
      </w:r>
      <w:r>
        <w:rPr>
          <w:rFonts w:ascii="Times New Roman" w:hAnsi="Times New Roman"/>
          <w:color w:val="231F20"/>
          <w:sz w:val="20"/>
        </w:rPr>
        <w:t xml:space="preserve"> We are subject to variation in scope and cost of projects from our 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Project Costs</w:t>
      </w:r>
      <w:r>
        <w:rPr>
          <w:rFonts w:ascii="Times New Roman" w:hAnsi="Times New Roman"/>
          <w:color w:val="231F20"/>
          <w:sz w:val="20"/>
        </w:rPr>
        <w:t xml:space="preserve">. Our costs primarily consist of payroll, equipment, materials, and other project related expenses. With a consistent 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Selling General and Administrative Costs</w:t>
      </w:r>
      <w:r>
        <w:rPr>
          <w:rFonts w:ascii="Times New Roman" w:hAnsi="Times New Roman"/>
          <w:color w:val="231F20"/>
          <w:sz w:val="20"/>
        </w:rPr>
        <w:t xml:space="preserve">. We incur significant expenses on an ongoing basis as a public company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are generally selling, general and administrative expenses. We have also implemented the 2023 Omnibus Incentive Plan to align our equity compensation program with public company plans and practices, which increases our stock-based compensation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Joint Ventures.</w:t>
      </w:r>
      <w:r>
        <w:rPr>
          <w:rFonts w:ascii="Times New Roman" w:hAnsi="Times New Roman"/>
          <w:color w:val="231F20"/>
          <w:sz w:val="20"/>
        </w:rPr>
        <w:t xml:space="preserve"> We participate in various construction joint ventures in order to share expertise, risk and resources 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How We Assess Performance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the cost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 </w:t>
      </w:r>
    </w:p>
    <w:p>
      <w:pPr>
        <w:pStyle w:val="TextBody"/>
        <w:bidi w:val="0"/>
        <w:spacing w:before="120" w:after="283"/>
        <w:jc w:val="left"/>
        <w:rPr>
          <w:rFonts w:ascii="Times New Roman" w:hAnsi="Times New Roman"/>
          <w:sz w:val="20"/>
        </w:rPr>
      </w:pPr>
      <w:r>
        <w:rPr>
          <w:rFonts w:ascii="Times New Roman" w:hAnsi="Times New Roman"/>
          <w:i/>
          <w:color w:val="000000"/>
          <w:sz w:val="20"/>
        </w:rPr>
        <w:t>Equity in (Loss) Earnings of Unconsolidated Joint Ventures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in (loss) earnings of unconsolidated joint ventures includes our return on investment in unconsolidated joint ventures.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represents earnings after consideration of all operating expenses and other income and expenses to measure loss to</w:t>
        <w:br/>
        <w:t>allocate resources and assess financial performance.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Three Months Ended July 4, 2025 compared to the Three Months Ended June 28,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selected financial data for the three months ended July 4, 2025 compared to the three months ended June 28, 2024:</w:t>
      </w:r>
    </w:p>
    <w:p>
      <w:pPr>
        <w:pStyle w:val="TextBody"/>
        <w:bidi w:val="0"/>
        <w:jc w:val="both"/>
        <w:rPr/>
      </w:pPr>
      <w:r>
        <w:rPr/>
        <w:t> </w:t>
      </w:r>
    </w:p>
    <w:tbl>
      <w:tblPr>
        <w:tblW w:w="10119" w:type="dxa"/>
        <w:jc w:val="left"/>
        <w:tblInd w:w="0" w:type="dxa"/>
        <w:tblLayout w:type="fixed"/>
        <w:tblCellMar>
          <w:top w:w="28" w:type="dxa"/>
          <w:left w:w="28" w:type="dxa"/>
          <w:bottom w:w="28" w:type="dxa"/>
          <w:right w:w="28" w:type="dxa"/>
        </w:tblCellMar>
      </w:tblPr>
      <w:tblGrid>
        <w:gridCol w:w="3346"/>
        <w:gridCol w:w="196"/>
        <w:gridCol w:w="691"/>
        <w:gridCol w:w="166"/>
        <w:gridCol w:w="146"/>
        <w:gridCol w:w="196"/>
        <w:gridCol w:w="691"/>
        <w:gridCol w:w="166"/>
        <w:gridCol w:w="146"/>
        <w:gridCol w:w="196"/>
        <w:gridCol w:w="601"/>
        <w:gridCol w:w="166"/>
        <w:gridCol w:w="146"/>
        <w:gridCol w:w="165"/>
        <w:gridCol w:w="496"/>
        <w:gridCol w:w="301"/>
        <w:gridCol w:w="146"/>
        <w:gridCol w:w="168"/>
        <w:gridCol w:w="432"/>
        <w:gridCol w:w="301"/>
        <w:gridCol w:w="146"/>
        <w:gridCol w:w="201"/>
        <w:gridCol w:w="519"/>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loss of unconsolidated joint ventures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before income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Revenue and gross margin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revenue and gross margin data for the three months ended July 4, 2025 compared to the three months ended June 28, 2024:</w:t>
      </w:r>
    </w:p>
    <w:p>
      <w:pPr>
        <w:pStyle w:val="TextBody"/>
        <w:bidi w:val="0"/>
        <w:jc w:val="left"/>
        <w:rPr/>
      </w:pPr>
      <w:r>
        <w:rPr/>
        <w:t> </w:t>
      </w:r>
    </w:p>
    <w:tbl>
      <w:tblPr>
        <w:tblW w:w="8327" w:type="dxa"/>
        <w:jc w:val="left"/>
        <w:tblInd w:w="0" w:type="dxa"/>
        <w:tblLayout w:type="fixed"/>
        <w:tblCellMar>
          <w:top w:w="28" w:type="dxa"/>
          <w:left w:w="28" w:type="dxa"/>
          <w:bottom w:w="28" w:type="dxa"/>
          <w:right w:w="28" w:type="dxa"/>
        </w:tblCellMar>
      </w:tblPr>
      <w:tblGrid>
        <w:gridCol w:w="2851"/>
        <w:gridCol w:w="222"/>
        <w:gridCol w:w="783"/>
        <w:gridCol w:w="301"/>
        <w:gridCol w:w="146"/>
        <w:gridCol w:w="257"/>
        <w:gridCol w:w="868"/>
        <w:gridCol w:w="301"/>
        <w:gridCol w:w="146"/>
        <w:gridCol w:w="196"/>
        <w:gridCol w:w="601"/>
        <w:gridCol w:w="146"/>
        <w:gridCol w:w="146"/>
        <w:gridCol w:w="218"/>
        <w:gridCol w:w="653"/>
        <w:gridCol w:w="30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Shimmick Projects</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112,619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83,689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Non-Core Projects</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Total</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128,402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90,605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Shimmick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Projects started after the AECOM Sale Transaction ("Shimmick Projects") have focused on critical infrastructure aligned with our strategy, including water, climate resilience, energy transition and sustainable transportation. Revenue recognized on Shimmick Projects was $113 million and $84 million for the three months ended July 4, 2025 and June 28, 2024, respectively. The $29 million increase in revenue was primarily the result of $18 million of revenue from a California Palisades fire clean-up project and $18 million of revenue from new water and infrastructure projects ramping up, partially offset by a $7 million decrease from lower activity on existing projects and projects winding down.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Shimmick Projects was $15 million and $5 million for the three months ended July 4, 2025 and June 28, 2024, respectively. The $10 million increase in the gross margin was primarily the result of $6 million in gross margin from new water and infrastructure projects ramping up and $4 million in gross margin from a California Palisades fire clean-up project.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Non-Core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part of the AECOM Sale Transaction, we acquired projects and backlog that were started under prior ownership (formerly referred to as "Legacy and Foundations Projects"). Separately, the Company entered into an agreement to sell the assets of our foundation drilling Non-Core Projects in the second quarter of 2024 and continued to wind down the remaining work which is largely completed.</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Non-Core Projects revenue was $16 million and $7 million for the three months ended July 4, 2025 and June 28, 2024, respectively. The $9 million increase was primarily the result of the settlement of a claim on a large Non-Core Loss Project, which included a reduction to revenue during the three months ended June 28, 2024 and which did not reoccur during the three months ended July 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2025.</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Non-Core Projects was $(7) million for the three months ended July 4, 2025 as compared to $(36) million for the three months ended June 28, 2024. The $29 million increase was primarily the result of the settlement of a claim discussed above, which included a reduction to revenue and did not reoccur during the three months ended July 4, 2025.</w:t>
      </w:r>
    </w:p>
    <w:p>
      <w:pPr>
        <w:pStyle w:val="TextBody"/>
        <w:bidi w:val="0"/>
        <w:jc w:val="left"/>
        <w:rPr>
          <w:rFonts w:ascii="Times New Roman" w:hAnsi="Times New Roman"/>
          <w:color w:val="231F20"/>
          <w:sz w:val="20"/>
        </w:rPr>
      </w:pPr>
      <w:r>
        <w:rPr>
          <w:rFonts w:ascii="Times New Roman" w:hAnsi="Times New Roman"/>
          <w:color w:val="231F20"/>
          <w:sz w:val="20"/>
        </w:rPr>
        <w:t xml:space="preserve">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and in some cases, there may be additional costs associated with these projects. Revenue recognized on these Non-Core Loss Projects was $13 million and $(7) million for the three months ended July 4, 2025 and June 28, 2024, respectively. Gross margin recognized on these Non-Core Loss Projects was $(3) million and $(32) million for the three months ended July 4, 2025 and June 28, 2024, respectively. The change in gross margin was primarily the result of the settlement of a claim discussed above, which included a reduction to revenue and which did not reoccur during the three months ended July 4, 2025. </w:t>
      </w:r>
    </w:p>
    <w:p>
      <w:pPr>
        <w:pStyle w:val="TextBody"/>
        <w:bidi w:val="0"/>
        <w:jc w:val="left"/>
        <w:rPr>
          <w:rFonts w:ascii="Times New Roman" w:hAnsi="Times New Roman"/>
          <w:i/>
          <w:color w:val="231F20"/>
          <w:sz w:val="20"/>
        </w:rPr>
      </w:pPr>
      <w:r>
        <w:rPr>
          <w:rFonts w:ascii="Times New Roman" w:hAnsi="Times New Roman"/>
          <w:i/>
          <w:color w:val="231F20"/>
          <w:sz w:val="20"/>
        </w:rPr>
        <w:t>Selling, general and administrative expenses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Selling, general and administrative expenses decreased by $4 million during the three months ended July 4, 2025 primarily as a result of the continued implementation of our transformation plan.</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Equity in loss of unconsolidated joint ventures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Equity in loss of unconsolidated joint ventures decreased by $2 million during the three months ended July 4, 2025 primarily as the result of elevated costs due to schedule extensions experienced during the three months ended June 28, 2024 which did not reoccur during the three months ended July 4, 2025.</w:t>
      </w:r>
    </w:p>
    <w:p>
      <w:pPr>
        <w:pStyle w:val="TextBody"/>
        <w:bidi w:val="0"/>
        <w:jc w:val="left"/>
        <w:rPr>
          <w:rFonts w:ascii="Times New Roman" w:hAnsi="Times New Roman"/>
          <w:i/>
          <w:color w:val="231F20"/>
          <w:sz w:val="20"/>
        </w:rPr>
      </w:pPr>
      <w:r>
        <w:rPr>
          <w:rFonts w:ascii="Times New Roman" w:hAnsi="Times New Roman"/>
          <w:i/>
          <w:color w:val="231F20"/>
          <w:sz w:val="20"/>
        </w:rPr>
        <w:t>Gain on sale of assets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Gain on sale of assets decreased by $4 million during the three months ended July 4, 2025 primarily due to the gain recognized on the sale of the assets of foundation drilling Non-Core Projects during the second quarter of 2024.</w:t>
      </w:r>
    </w:p>
    <w:p>
      <w:pPr>
        <w:pStyle w:val="TextBody"/>
        <w:bidi w:val="0"/>
        <w:jc w:val="left"/>
        <w:rPr>
          <w:rFonts w:ascii="Times New Roman" w:hAnsi="Times New Roman"/>
          <w:i/>
          <w:color w:val="231F20"/>
          <w:sz w:val="20"/>
        </w:rPr>
      </w:pPr>
      <w:r>
        <w:rPr>
          <w:rFonts w:ascii="Times New Roman" w:hAnsi="Times New Roman"/>
          <w:i/>
          <w:color w:val="231F20"/>
          <w:sz w:val="20"/>
        </w:rPr>
        <w:t>Interest expense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Interest expense remained approximately flat period over period.</w:t>
      </w:r>
    </w:p>
    <w:p>
      <w:pPr>
        <w:pStyle w:val="TextBody"/>
        <w:bidi w:val="0"/>
        <w:jc w:val="left"/>
        <w:rPr>
          <w:rFonts w:ascii="Times New Roman" w:hAnsi="Times New Roman"/>
          <w:i/>
          <w:color w:val="231F20"/>
          <w:sz w:val="20"/>
        </w:rPr>
      </w:pPr>
      <w:r>
        <w:rPr>
          <w:rFonts w:ascii="Times New Roman" w:hAnsi="Times New Roman"/>
          <w:i/>
          <w:color w:val="231F20"/>
          <w:sz w:val="20"/>
        </w:rPr>
        <w:t>Other (income) expense, net</w:t>
      </w:r>
    </w:p>
    <w:p>
      <w:pPr>
        <w:pStyle w:val="TextBody"/>
        <w:bidi w:val="0"/>
        <w:jc w:val="left"/>
        <w:rPr>
          <w:rFonts w:ascii="Times New Roman" w:hAnsi="Times New Roman"/>
          <w:color w:val="231F20"/>
          <w:sz w:val="20"/>
        </w:rPr>
      </w:pPr>
      <w:r>
        <w:rPr>
          <w:rFonts w:ascii="Times New Roman" w:hAnsi="Times New Roman"/>
          <w:color w:val="231F20"/>
          <w:sz w:val="20"/>
        </w:rPr>
        <w:t>Other (income) expense, net increased by $2 million during the three months ended July 4, 2025 primarily as the result of a $1 million loss recognized on the settlement of certain claims with AECOM as well as other costs incurred during the three months ended June 28, 2024 which did not reoccur during the three months ended July 4,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Due to an expected tax loss for the fiscal year ending 2025 and a realized tax loss for the fiscal year ended 2024, no income tax expense was recorded for either the three months ended July 4, 2025 or the three months ended June 28, 2024.</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Net loss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Net loss decreased by $43 million to a net loss of $8 million for the three months ended July 4, 2025, primarily due to increase in gross margin of $39 million, decrease in selling, general and administrative expenses of $4 million, decrease in equity in loss of unconsolidated joint ventures of $2 million and increase in other (income) expense, net of $2 million, partially offset by decrease in the gain on the sale of assets of $4 million, all as described above.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Six Months Ended July 4, 2025 compared to the Six Months Ended June 28, 2024</w:t>
      </w:r>
    </w:p>
    <w:p>
      <w:pPr>
        <w:pStyle w:val="TextBody"/>
        <w:bidi w:val="0"/>
        <w:spacing w:before="360" w:after="283"/>
        <w:jc w:val="left"/>
        <w:rPr>
          <w:rFonts w:ascii="Times New Roman" w:hAnsi="Times New Roman"/>
          <w:color w:val="231F20"/>
          <w:sz w:val="20"/>
        </w:rPr>
      </w:pPr>
      <w:r>
        <w:rPr>
          <w:rFonts w:ascii="Times New Roman" w:hAnsi="Times New Roman"/>
          <w:color w:val="231F20"/>
          <w:sz w:val="20"/>
        </w:rPr>
        <w:t>The following table sets forth selected financial data for the six months ended July 4, 2025 compared to the six months ended June 28,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458"/>
        <w:gridCol w:w="196"/>
        <w:gridCol w:w="691"/>
        <w:gridCol w:w="166"/>
        <w:gridCol w:w="146"/>
        <w:gridCol w:w="196"/>
        <w:gridCol w:w="691"/>
        <w:gridCol w:w="166"/>
        <w:gridCol w:w="146"/>
        <w:gridCol w:w="196"/>
        <w:gridCol w:w="661"/>
        <w:gridCol w:w="166"/>
        <w:gridCol w:w="146"/>
        <w:gridCol w:w="165"/>
        <w:gridCol w:w="496"/>
        <w:gridCol w:w="287"/>
        <w:gridCol w:w="146"/>
        <w:gridCol w:w="163"/>
        <w:gridCol w:w="419"/>
        <w:gridCol w:w="287"/>
        <w:gridCol w:w="146"/>
        <w:gridCol w:w="189"/>
        <w:gridCol w:w="487"/>
        <w:gridCol w:w="395"/>
      </w:tblGrid>
      <w:tr>
        <w:trPr/>
        <w:tc>
          <w:tcPr>
            <w:tcW w:w="34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(loss) of unconsolidated joint ventures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assets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before income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Revenue and gross margin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revenue and gross margin data for the six months ended July 4, 2025 compared to the six months ended June 28, 2024:</w:t>
      </w:r>
    </w:p>
    <w:p>
      <w:pPr>
        <w:pStyle w:val="TextBody"/>
        <w:bidi w:val="0"/>
        <w:jc w:val="left"/>
        <w:rPr/>
      </w:pPr>
      <w:r>
        <w:rPr/>
        <w:t> </w:t>
      </w:r>
    </w:p>
    <w:tbl>
      <w:tblPr>
        <w:tblW w:w="8327" w:type="dxa"/>
        <w:jc w:val="left"/>
        <w:tblInd w:w="0" w:type="dxa"/>
        <w:tblLayout w:type="fixed"/>
        <w:tblCellMar>
          <w:top w:w="28" w:type="dxa"/>
          <w:left w:w="28" w:type="dxa"/>
          <w:bottom w:w="28" w:type="dxa"/>
          <w:right w:w="28" w:type="dxa"/>
        </w:tblCellMar>
      </w:tblPr>
      <w:tblGrid>
        <w:gridCol w:w="2851"/>
        <w:gridCol w:w="222"/>
        <w:gridCol w:w="783"/>
        <w:gridCol w:w="301"/>
        <w:gridCol w:w="146"/>
        <w:gridCol w:w="248"/>
        <w:gridCol w:w="877"/>
        <w:gridCol w:w="301"/>
        <w:gridCol w:w="146"/>
        <w:gridCol w:w="196"/>
        <w:gridCol w:w="601"/>
        <w:gridCol w:w="146"/>
        <w:gridCol w:w="146"/>
        <w:gridCol w:w="218"/>
        <w:gridCol w:w="653"/>
        <w:gridCol w:w="30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Shimmick Projects</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205,773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Non-Core Projects</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36,667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Total</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210,648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231F20"/>
          <w:sz w:val="20"/>
        </w:rPr>
        <w:t>Shimmick Projects</w:t>
      </w:r>
      <w:r>
        <w:rPr>
          <w:rFonts w:ascii="Times New Roman" w:hAnsi="Times New Roman"/>
          <w:color w:val="231F20"/>
          <w:sz w:val="20"/>
        </w:rPr>
        <w:t xml:space="preserve"> </w:t>
      </w:r>
    </w:p>
    <w:p>
      <w:pPr>
        <w:pStyle w:val="TextBody"/>
        <w:bidi w:val="0"/>
        <w:spacing w:before="360" w:after="283"/>
        <w:jc w:val="left"/>
        <w:rPr>
          <w:rFonts w:ascii="Times New Roman" w:hAnsi="Times New Roman"/>
          <w:color w:val="231F20"/>
          <w:sz w:val="20"/>
        </w:rPr>
      </w:pPr>
      <w:r>
        <w:rPr>
          <w:rFonts w:ascii="Times New Roman" w:hAnsi="Times New Roman"/>
          <w:color w:val="231F20"/>
          <w:sz w:val="20"/>
        </w:rPr>
        <w:t xml:space="preserve">Revenue recognized on Shimmick Projects was $206 million and $174 million for the six months ended July 4, 2025 and June 28, 2024, respectively. The $32 million increase in revenue was primarily the result of $31 million of revenue from a California Palisades fire clean-up project and $1 million of revenue from new water and infrastructure projects ramping up.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Shimmick Projects was $20 million and $4 million for the six months ended July 4, 2025 and June 28, 2024, respectively. The $16 million increase in the gross margin was primarily the result of $7 million in gross margin from a California Palisades fire clean-up project and $9 million in gross margin from new water and infrastructure projects ramping up.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Non-Core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Non-Core Projects revenue was $45 million and $37 million for the six months ended July 4, 2025 and June 28, 2024, respectively. The $8 million increase was primarily due to a settlement of a claim on a large Non-Core Loss Project identified during the six months ended June 28, 2024 which did not reoccur during the six months ended July 4, 2025.</w:t>
      </w:r>
    </w:p>
    <w:p>
      <w:pPr>
        <w:pStyle w:val="TextBody"/>
        <w:bidi w:val="0"/>
        <w:jc w:val="left"/>
        <w:rPr>
          <w:rFonts w:ascii="Times New Roman" w:hAnsi="Times New Roman"/>
          <w:color w:val="231F20"/>
          <w:sz w:val="20"/>
        </w:rPr>
      </w:pPr>
      <w:r>
        <w:rPr>
          <w:rFonts w:ascii="Times New Roman" w:hAnsi="Times New Roman"/>
          <w:color w:val="231F20"/>
          <w:sz w:val="20"/>
        </w:rPr>
        <w:t xml:space="preserve">Gross margin was $(7) million for the six months ended July 4, 2025 as compared to $(51) million for the six months ended June 28, 2024. The $44 million increase was primarily the result of the settlement of a claim discussed above as well as cost increases for time and design-related schedule extensions identified during the six months ended June 28, 2024 which did not reoccur during the six months ended July 4, 2025. </w:t>
      </w:r>
    </w:p>
    <w:p>
      <w:pPr>
        <w:pStyle w:val="TextBody"/>
        <w:bidi w:val="0"/>
        <w:jc w:val="left"/>
        <w:rPr>
          <w:rFonts w:ascii="Times New Roman" w:hAnsi="Times New Roman"/>
          <w:color w:val="231F20"/>
          <w:sz w:val="20"/>
        </w:rPr>
      </w:pPr>
      <w:r>
        <w:rPr>
          <w:rFonts w:ascii="Times New Roman" w:hAnsi="Times New Roman"/>
          <w:color w:val="231F20"/>
          <w:sz w:val="20"/>
        </w:rPr>
        <w:t xml:space="preserve">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 xml:space="preserve">Projects continue to wind down to completion, no further gross margin will be recognized and in some cases, there may be additional costs associated with these projects. Revenue recognized on these Non-Core Loss Projects was $31 million and $8 million for the six months ended July 4, 2025 and June 28, 2024, respectively. Gross margin recognized on these Non-Core Loss Projects was $(4) million and $(44) million for the six months ended July 4, 2025 and June 28, 2024, respectively. The change in gross margin was primarily the result of the settlement of a claim discussed above as well as cost increases for time and design-related schedule extensions identified during the six months ended June 28, 2024 which did not reoccur during the six months ended July 4, 2025.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Selling, general and administrative expenses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Selling, general and administrative expenses decreased by $5 million during the six months ended July 4, 2025 primarily as a result of the continued implementation of our transformation plan.</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Equity in earnings (loss) of unconsolidated joint ventures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Equity in earnings (loss) of unconsolidated joint ventures decreased by $2 million during the six months ended July 4, 2025 primarily as the result of increased costs due to schedule extensions experienced during the six months ended June 28, 2024 which did not reoccur during the six months ended July 4, 2025.</w:t>
      </w:r>
    </w:p>
    <w:p>
      <w:pPr>
        <w:pStyle w:val="TextBody"/>
        <w:bidi w:val="0"/>
        <w:jc w:val="left"/>
        <w:rPr>
          <w:rFonts w:ascii="Times New Roman" w:hAnsi="Times New Roman"/>
          <w:i/>
          <w:color w:val="231F20"/>
          <w:sz w:val="20"/>
        </w:rPr>
      </w:pPr>
      <w:r>
        <w:rPr>
          <w:rFonts w:ascii="Times New Roman" w:hAnsi="Times New Roman"/>
          <w:i/>
          <w:color w:val="231F20"/>
          <w:sz w:val="20"/>
        </w:rPr>
        <w:t>Gain on sale of assets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Gain on sale of assets decreased by $4 million during the six months ended July 4, 2025 primarily due to the gain recognized on the sale of the assets of our foundation drilling Non-Core Projects during the second quarter of 2024.</w:t>
      </w:r>
    </w:p>
    <w:p>
      <w:pPr>
        <w:pStyle w:val="TextBody"/>
        <w:bidi w:val="0"/>
        <w:jc w:val="left"/>
        <w:rPr>
          <w:rFonts w:ascii="Times New Roman" w:hAnsi="Times New Roman"/>
          <w:i/>
          <w:color w:val="231F20"/>
          <w:sz w:val="20"/>
        </w:rPr>
      </w:pPr>
      <w:r>
        <w:rPr>
          <w:rFonts w:ascii="Times New Roman" w:hAnsi="Times New Roman"/>
          <w:i/>
          <w:color w:val="231F20"/>
          <w:sz w:val="20"/>
        </w:rPr>
        <w:t>Interest expense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Interest expense remained approximately flat period over period.</w:t>
      </w:r>
    </w:p>
    <w:p>
      <w:pPr>
        <w:pStyle w:val="TextBody"/>
        <w:bidi w:val="0"/>
        <w:jc w:val="left"/>
        <w:rPr>
          <w:rFonts w:ascii="Times New Roman" w:hAnsi="Times New Roman"/>
          <w:i/>
          <w:color w:val="231F20"/>
          <w:sz w:val="20"/>
        </w:rPr>
      </w:pPr>
      <w:r>
        <w:rPr>
          <w:rFonts w:ascii="Times New Roman" w:hAnsi="Times New Roman"/>
          <w:i/>
          <w:color w:val="231F20"/>
          <w:sz w:val="20"/>
        </w:rPr>
        <w:t>Other (income) expense, net</w:t>
      </w:r>
    </w:p>
    <w:p>
      <w:pPr>
        <w:pStyle w:val="TextBody"/>
        <w:bidi w:val="0"/>
        <w:jc w:val="left"/>
        <w:rPr>
          <w:rFonts w:ascii="Times New Roman" w:hAnsi="Times New Roman"/>
          <w:color w:val="231F20"/>
          <w:sz w:val="20"/>
        </w:rPr>
      </w:pPr>
      <w:r>
        <w:rPr>
          <w:rFonts w:ascii="Times New Roman" w:hAnsi="Times New Roman"/>
          <w:color w:val="231F20"/>
          <w:sz w:val="20"/>
        </w:rPr>
        <w:t>Other (income) expense, net increased by $3 million during the six months ended July 4, 2025 primarily as the result of a $1 million loss recognized on the settlement of certain claims with AECOM as well as expenses recognized associated with the change in fair value of contingent consideration and other costs incurred during the six months ended June 28, 2024 which did not reoccur during the six months ended July 4,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Due to an expected tax loss for the fiscal year ending 2025 and a realized tax loss for the fiscal year ended 2024, no income tax expense was recorded for either the six months ended July 4, 2025 or the six months ended June 28, 2024.</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Net loss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Net loss decreased by $67 million to a net loss of $18 million for the six months ended July 4, 2025, primarily due to increase in gross margin of $60 million, decrease in selling, general and administrative expenses of $5 million, increase in other (income) expense, net of $3 million, decrease in equity in earnings (loss) of unconsolidated joint ventures of $2 million, partially offset by decrease in the gain on the sale of assets of $4 million, all as described above.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Non-GAAP Financial Measures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loss and Adjusted EBITDA.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Adjusted Net Loss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Adjusted net loss represents Net loss attributable to Shimmick Corporation adjusted to eliminate stock-based compensation, legal fees and other costs for </w:t>
      </w:r>
      <w:r>
        <w:rPr>
          <w:rFonts w:ascii="Times New Roman" w:hAnsi="Times New Roman"/>
          <w:color w:val="231F20"/>
          <w:sz w:val="20"/>
        </w:rPr>
        <w:t>Non-Core</w:t>
      </w:r>
      <w:r>
        <w:rPr>
          <w:rFonts w:ascii="Times New Roman" w:hAnsi="Times New Roman"/>
          <w:color w:val="000000"/>
          <w:sz w:val="20"/>
        </w:rPr>
        <w:t xml:space="preserve"> Projects and other costs. We have also made an adjustment for transformation costs we have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including advisory costs in connection with settling outstanding claims, exiting the </w:t>
      </w:r>
      <w:r>
        <w:rPr>
          <w:rFonts w:ascii="Times New Roman" w:hAnsi="Times New Roman"/>
          <w:color w:val="231F20"/>
          <w:sz w:val="20"/>
        </w:rPr>
        <w:t>Non-Core</w:t>
      </w:r>
      <w:r>
        <w:rPr>
          <w:rFonts w:ascii="Times New Roman" w:hAnsi="Times New Roman"/>
          <w:color w:val="000000"/>
          <w:sz w:val="20"/>
        </w:rPr>
        <w:t xml:space="preserve"> Projects and transforming the Company to shift our strategy to meet the nation’s growing need for water and other critical infrastructure and grow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included Adjusted net loss in this Form 10-Q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pStyle w:val="TextBody"/>
        <w:bidi w:val="0"/>
        <w:spacing w:before="120" w:after="283"/>
        <w:jc w:val="both"/>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use of Adjusted net loss as an analytical tool has limitations, and you should not consider it in isolation or as a substitute for analysis of our financial results as reported under GAAP. Some of these limitations are: </w:t>
      </w:r>
    </w:p>
    <w:p>
      <w:pPr>
        <w:pStyle w:val="TextBody"/>
        <w:bidi w:val="0"/>
        <w:jc w:val="left"/>
        <w:rPr/>
      </w:pPr>
      <w:r>
        <w:rPr/>
        <w:t> </w:t>
      </w:r>
    </w:p>
    <w:p>
      <w:pPr>
        <w:pStyle w:val="TextBody"/>
        <w:bidi w:val="0"/>
        <w:spacing w:before="0" w:after="0"/>
        <w:jc w:val="left"/>
        <w:rPr>
          <w:color w:val="231F20"/>
        </w:rPr>
      </w:pPr>
      <w:r>
        <w:rPr>
          <w:color w:val="231F20"/>
        </w:rPr>
        <w:t>•</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 xml:space="preserve">Adjusted net loss does not reflect changes in, or cash requirements for, our working capital needs, </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Adjusted net</w:t>
      </w:r>
      <w:r>
        <w:rPr>
          <w:color w:val="000000"/>
        </w:rPr>
        <w:t xml:space="preserve"> </w:t>
      </w:r>
      <w:r>
        <w:rPr>
          <w:rFonts w:ascii="Times New Roman" w:hAnsi="Times New Roman"/>
          <w:color w:val="000000"/>
          <w:sz w:val="20"/>
        </w:rPr>
        <w:t>loss</w:t>
      </w:r>
      <w:r>
        <w:rPr>
          <w:color w:val="231F20"/>
        </w:rPr>
        <w:t xml:space="preserve"> </w:t>
      </w:r>
      <w:r>
        <w:rPr>
          <w:rFonts w:ascii="Times New Roman" w:hAnsi="Times New Roman"/>
          <w:color w:val="231F20"/>
          <w:sz w:val="20"/>
        </w:rPr>
        <w:t xml:space="preserve">does not reflect the potentially dilutive impact of stock-based compensation,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companies, including companies in our industry, might calculate Adjusted net loss 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Because of these and other limitations, you should consider Adjusted net loss alongside Net loss attributable to Shimmick Corporation, which is the most directly comparable GAAP measure.</w:t>
      </w:r>
    </w:p>
    <w:p>
      <w:pPr>
        <w:pStyle w:val="TextBody"/>
        <w:bidi w:val="0"/>
        <w:spacing w:before="360" w:after="240"/>
        <w:jc w:val="left"/>
        <w:rPr>
          <w:rFonts w:ascii="Times New Roman" w:hAnsi="Times New Roman"/>
          <w:i/>
          <w:color w:val="231F20"/>
          <w:sz w:val="20"/>
        </w:rPr>
      </w:pPr>
      <w:r>
        <w:rPr>
          <w:rFonts w:ascii="Times New Roman" w:hAnsi="Times New Roman"/>
          <w:i/>
          <w:color w:val="231F20"/>
          <w:sz w:val="20"/>
        </w:rPr>
        <w:t>Adjusted EBITDA</w:t>
      </w:r>
    </w:p>
    <w:p>
      <w:pPr>
        <w:pStyle w:val="TextBody"/>
        <w:bidi w:val="0"/>
        <w:spacing w:before="0" w:after="240"/>
        <w:jc w:val="left"/>
        <w:rPr>
          <w:rFonts w:ascii="Times New Roman" w:hAnsi="Times New Roman"/>
          <w:sz w:val="20"/>
        </w:rPr>
      </w:pPr>
      <w:r>
        <w:rPr>
          <w:rFonts w:ascii="Times New Roman" w:hAnsi="Times New Roman"/>
          <w:color w:val="231F20"/>
          <w:sz w:val="20"/>
        </w:rPr>
        <w:t>Adjusted EBITDA represents our Net loss attributable to Shimmick Corporation before interest expense, income tax expense and depreciation and amortization, adjusted to eliminate</w:t>
      </w:r>
      <w:r>
        <w:rPr>
          <w:rFonts w:ascii="Times New Roman" w:hAnsi="Times New Roman"/>
          <w:color w:val="000000"/>
          <w:sz w:val="20"/>
        </w:rPr>
        <w:t xml:space="preserve"> stock-based compensation, legal fees and other costs for </w:t>
      </w:r>
      <w:r>
        <w:rPr>
          <w:rFonts w:ascii="Times New Roman" w:hAnsi="Times New Roman"/>
          <w:color w:val="231F20"/>
          <w:sz w:val="20"/>
        </w:rPr>
        <w:t>Non-Core</w:t>
      </w:r>
      <w:r>
        <w:rPr>
          <w:rFonts w:ascii="Times New Roman" w:hAnsi="Times New Roman"/>
          <w:color w:val="000000"/>
          <w:sz w:val="20"/>
        </w:rPr>
        <w:t xml:space="preserve"> Projects and other costs. We have also made an adjustment for transformation costs we have incurred including advisory costs in connection with settling outstanding claims, exiting the </w:t>
      </w:r>
      <w:r>
        <w:rPr>
          <w:rFonts w:ascii="Times New Roman" w:hAnsi="Times New Roman"/>
          <w:color w:val="231F20"/>
          <w:sz w:val="20"/>
        </w:rPr>
        <w:t>Non-Core</w:t>
      </w:r>
      <w:r>
        <w:rPr>
          <w:rFonts w:ascii="Times New Roman" w:hAnsi="Times New Roman"/>
          <w:color w:val="000000"/>
          <w:sz w:val="20"/>
        </w:rPr>
        <w:t xml:space="preserve"> Projects and transforming the Company to shift our strategy to meet the nation’s growing need for water and other critical infrastructure and grow our business.</w:t>
      </w:r>
    </w:p>
    <w:p>
      <w:pPr>
        <w:pStyle w:val="TextBody"/>
        <w:bidi w:val="0"/>
        <w:spacing w:before="0" w:after="240"/>
        <w:jc w:val="left"/>
        <w:rPr>
          <w:rFonts w:ascii="Times New Roman" w:hAnsi="Times New Roman"/>
          <w:sz w:val="20"/>
        </w:rPr>
      </w:pPr>
      <w:r>
        <w:rPr>
          <w:rFonts w:ascii="Times New Roman" w:hAnsi="Times New Roman"/>
          <w:color w:val="231F20"/>
          <w:sz w:val="20"/>
        </w:rPr>
        <w:t xml:space="preserve">We have included Adjusted EBITDA in this </w:t>
      </w:r>
      <w:r>
        <w:rPr>
          <w:rFonts w:ascii="Times New Roman" w:hAnsi="Times New Roman"/>
          <w:color w:val="000000"/>
          <w:sz w:val="20"/>
        </w:rPr>
        <w:t xml:space="preserve">Form 10-Q </w:t>
      </w:r>
      <w:r>
        <w:rPr>
          <w:rFonts w:ascii="Times New Roman" w:hAnsi="Times New Roman"/>
          <w:color w:val="231F20"/>
          <w:sz w:val="20"/>
        </w:rPr>
        <w:t>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Our use of Adjusted EBITDA as an analytical tool has limitations, and you should not consider it in isolation or as a substitute for analysis of our financial results as reported under GAAP. Some of these limitations are:</w:t>
      </w:r>
    </w:p>
    <w:p>
      <w:pPr>
        <w:pStyle w:val="TextBody"/>
        <w:bidi w:val="0"/>
        <w:spacing w:before="0" w:after="0"/>
        <w:jc w:val="left"/>
        <w:rPr>
          <w:color w:val="231F20"/>
        </w:rPr>
      </w:pPr>
      <w:r>
        <w:rPr>
          <w:color w:val="231F20"/>
        </w:rPr>
        <w:t>•</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changes in, or cash requirements for, our working capital needs,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the potentially dilutive impact of stock-based compensation,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interest or tax payments that would reduce the cash available to us,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companies, including companies in our industry, might calculate Adjusted EBITDA 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Because of these and other limitations, you should consider Adjusted EBITDA alongside Net loss attributable to Shimmick Corporation, which is the most directly comparable GAAP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See reconciliations below: </w:t>
      </w:r>
    </w:p>
    <w:p>
      <w:pPr>
        <w:pStyle w:val="TextBody"/>
        <w:bidi w:val="0"/>
        <w:spacing w:before="120" w:after="283"/>
        <w:jc w:val="left"/>
        <w:rPr/>
      </w:pPr>
      <w:r>
        <w:rPr/>
        <w:t> </w:t>
      </w:r>
    </w:p>
    <w:tbl>
      <w:tblPr>
        <w:tblW w:w="8412" w:type="dxa"/>
        <w:jc w:val="left"/>
        <w:tblInd w:w="0" w:type="dxa"/>
        <w:tblLayout w:type="fixed"/>
        <w:tblCellMar>
          <w:top w:w="28" w:type="dxa"/>
          <w:left w:w="28" w:type="dxa"/>
          <w:bottom w:w="28" w:type="dxa"/>
          <w:right w:w="28" w:type="dxa"/>
        </w:tblCellMar>
      </w:tblPr>
      <w:tblGrid>
        <w:gridCol w:w="3781"/>
        <w:gridCol w:w="146"/>
        <w:gridCol w:w="196"/>
        <w:gridCol w:w="571"/>
        <w:gridCol w:w="166"/>
        <w:gridCol w:w="146"/>
        <w:gridCol w:w="196"/>
        <w:gridCol w:w="661"/>
        <w:gridCol w:w="166"/>
        <w:gridCol w:w="146"/>
        <w:gridCol w:w="196"/>
        <w:gridCol w:w="661"/>
        <w:gridCol w:w="166"/>
        <w:gridCol w:w="146"/>
        <w:gridCol w:w="196"/>
        <w:gridCol w:w="661"/>
        <w:gridCol w:w="2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Transformation costs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Legal fees and other costs for Non-Core Projects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8412" w:type="dxa"/>
        <w:jc w:val="left"/>
        <w:tblInd w:w="0" w:type="dxa"/>
        <w:tblLayout w:type="fixed"/>
        <w:tblCellMar>
          <w:top w:w="28" w:type="dxa"/>
          <w:left w:w="28" w:type="dxa"/>
          <w:bottom w:w="28" w:type="dxa"/>
          <w:right w:w="28" w:type="dxa"/>
        </w:tblCellMar>
      </w:tblPr>
      <w:tblGrid>
        <w:gridCol w:w="3781"/>
        <w:gridCol w:w="146"/>
        <w:gridCol w:w="196"/>
        <w:gridCol w:w="571"/>
        <w:gridCol w:w="166"/>
        <w:gridCol w:w="146"/>
        <w:gridCol w:w="196"/>
        <w:gridCol w:w="661"/>
        <w:gridCol w:w="166"/>
        <w:gridCol w:w="146"/>
        <w:gridCol w:w="196"/>
        <w:gridCol w:w="661"/>
        <w:gridCol w:w="166"/>
        <w:gridCol w:w="146"/>
        <w:gridCol w:w="196"/>
        <w:gridCol w:w="661"/>
        <w:gridCol w:w="2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Transformation costs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Legal fees and other costs for Non-Core Projects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Consists of transformation-related costs we have incurred including advisory costs in connection with settling outstanding claims in connection with exiting certain </w:t>
      </w:r>
      <w:r>
        <w:rPr>
          <w:rFonts w:ascii="Times New Roman" w:hAnsi="Times New Roman"/>
          <w:color w:val="231F20"/>
          <w:sz w:val="20"/>
        </w:rPr>
        <w:t>Non-Core</w:t>
      </w:r>
      <w:r>
        <w:rPr>
          <w:rFonts w:ascii="Times New Roman" w:hAnsi="Times New Roman"/>
          <w:color w:val="000000"/>
          <w:sz w:val="20"/>
        </w:rPr>
        <w:t xml:space="preserve"> Projects as part of the Company’s growth strategy to address and capitalize on the nation’s growing need for water and other critical infrastructure.</w:t>
      </w:r>
    </w:p>
    <w:p>
      <w:pPr>
        <w:pStyle w:val="TextBody"/>
        <w:bidi w:val="0"/>
        <w:jc w:val="left"/>
        <w:rPr>
          <w:rFonts w:ascii="Times New Roman" w:hAnsi="Times New Roman"/>
          <w:sz w:val="20"/>
        </w:rPr>
      </w:pPr>
      <w:r>
        <w:rPr>
          <w:rFonts w:ascii="Times New Roman" w:hAnsi="Times New Roman"/>
          <w:color w:val="000000"/>
          <w:sz w:val="20"/>
        </w:rPr>
        <w:t xml:space="preserve">(2) Consists of legal fees and other costs incurred in connection with claims relating to </w:t>
      </w:r>
      <w:r>
        <w:rPr>
          <w:rFonts w:ascii="Times New Roman" w:hAnsi="Times New Roman"/>
          <w:color w:val="231F20"/>
          <w:sz w:val="20"/>
        </w:rPr>
        <w:t>Non-Core</w:t>
      </w:r>
      <w:r>
        <w:rPr>
          <w:rFonts w:ascii="Times New Roman" w:hAnsi="Times New Roman"/>
          <w:color w:val="000000"/>
          <w:sz w:val="20"/>
        </w:rPr>
        <w:t xml:space="preserve"> Projects.</w:t>
      </w:r>
    </w:p>
    <w:p>
      <w:pPr>
        <w:pStyle w:val="TextBody"/>
        <w:bidi w:val="0"/>
        <w:jc w:val="left"/>
        <w:rPr>
          <w:rFonts w:ascii="Times New Roman" w:hAnsi="Times New Roman"/>
          <w:color w:val="000000"/>
          <w:sz w:val="20"/>
        </w:rPr>
      </w:pPr>
      <w:r>
        <w:rPr>
          <w:rFonts w:ascii="Times New Roman" w:hAnsi="Times New Roman"/>
          <w:color w:val="000000"/>
          <w:sz w:val="20"/>
        </w:rPr>
        <w:t>(3) Consists of transaction-related costs and changes in fair value of contingent consideration remaining after the impact of transactions with our prior owner.</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Capital Requirements and Sources of Liquidity</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July 4, 2025 our capital expenditures were approximately $1 million compared to $8 million for the six months ended June 28, 2024.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July 4, 2025 totaled $21 million and availability under the Credit Agreement and ACF Credit Agreement totaled $51 million and $1 million, respectively, resulting in total liquidity of $73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historically relied upon cash available through operating activities, in addition to credit facilities and existing cash balances, to finance our working capital requirements and to support our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we regularly monitor other potential capital sources, including equity and debt financing, in an effort to meet our planned expenditures and liquidity requirements. Our future success will be highly dependent on our ability to access outside sources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and sale-leaseback transactions,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debt outstanding on the condensed consolidated balance sheets is comprised of the following:</w:t>
      </w:r>
    </w:p>
    <w:p>
      <w:pPr>
        <w:pStyle w:val="TextBody"/>
        <w:bidi w:val="0"/>
        <w:spacing w:before="240" w:after="283"/>
        <w:jc w:val="left"/>
        <w:rPr/>
      </w:pPr>
      <w:r>
        <w:rPr/>
        <w:t> </w:t>
      </w:r>
    </w:p>
    <w:tbl>
      <w:tblPr>
        <w:tblW w:w="9555" w:type="dxa"/>
        <w:jc w:val="left"/>
        <w:tblInd w:w="0" w:type="dxa"/>
        <w:tblLayout w:type="fixed"/>
        <w:tblCellMar>
          <w:top w:w="28" w:type="dxa"/>
          <w:left w:w="28" w:type="dxa"/>
          <w:bottom w:w="28" w:type="dxa"/>
          <w:right w:w="28" w:type="dxa"/>
        </w:tblCellMar>
      </w:tblPr>
      <w:tblGrid>
        <w:gridCol w:w="3061"/>
        <w:gridCol w:w="746"/>
        <w:gridCol w:w="271"/>
        <w:gridCol w:w="869"/>
        <w:gridCol w:w="1166"/>
        <w:gridCol w:w="1146"/>
        <w:gridCol w:w="353"/>
        <w:gridCol w:w="1132"/>
        <w:gridCol w:w="811"/>
      </w:tblGrid>
      <w:tr>
        <w:trPr/>
        <w:tc>
          <w:tcPr>
            <w:tcW w:w="30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36,373</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August 8, 2025 to, among other things, permit the Company’s concurrent amendment to the Revolving Credit Facility and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third quarter of 2026. The Credit Agreement also contains representations and warranties and event of default provisions customary for a transaction of this type. The</w:t>
        <w:br/>
        <w:t>Company is not aware of any instances of noncompliance with non-financial or financial covenants as of July 4,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July 4, 2025,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Promissory Note has a maturity date of April 1, 2031, and accrues interest at a rate of 12.50% per annum. Pursuant to the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w:t>
        <w:br/>
        <w:t>guaranty agreement (each, a “Guaranty Agreement,” and together, the “Guaranty Agreements”) in favor of the Ansley Park</w:t>
        <w:br/>
        <w:t>Capital LLC unconditionally guaranteeing our liabilities and the liabilities of one of our wholly-owned subsidiaries under the</w:t>
        <w:br/>
        <w:t xml:space="preserve">Ansley Loan Agreement. As of July 4, 2025, we are not aware of any instances of noncompliance with non-financial or financial covenants.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27, 2023, we entered into the Revolving Credit Facility with MidCap Financial Services, LLC, which originally provided a total commitment of $30 million. The Revolving Credit Facility was terminated on March 12, 2025 upon execution of the ACF Credit Agreement.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During the six months ended July 4, 2025, the Company paid $1 million in cash interest and accrued $2 million in non-cash payment-in-kind interest as of July 4, 2025.</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Cash Flows Analysis</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our cash flows for the periods indicated:</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5221"/>
        <w:gridCol w:w="146"/>
        <w:gridCol w:w="211"/>
        <w:gridCol w:w="736"/>
        <w:gridCol w:w="166"/>
        <w:gridCol w:w="146"/>
        <w:gridCol w:w="211"/>
        <w:gridCol w:w="736"/>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Operating Activities</w:t>
      </w:r>
    </w:p>
    <w:p>
      <w:pPr>
        <w:pStyle w:val="TextBody"/>
        <w:bidi w:val="0"/>
        <w:jc w:val="left"/>
        <w:rPr>
          <w:rFonts w:ascii="Times New Roman" w:hAnsi="Times New Roman"/>
          <w:color w:val="231F20"/>
          <w:sz w:val="20"/>
        </w:rPr>
      </w:pPr>
      <w:r>
        <w:rPr>
          <w:rFonts w:ascii="Times New Roman" w:hAnsi="Times New Roman"/>
          <w:color w:val="231F20"/>
          <w:sz w:val="20"/>
        </w:rPr>
        <w:t>During the six months ended July 4, 2025, net cash used in operating activities was $42 million, compared to net cash used in operating activities of $79 million for the six months ended June 28, 2024. Cash flows used in operating activities were driven by net loss, adjusted for various non-cash items and changes in contract liabilities, contract assets, accounts payable and accrued expenses balances, other assets and liabilities, accounts receivable and accrued salaries and wages as discussed below.</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Operating assets and liabilities — The change in operating assets and liabilities varies due to fluctuations and timing in operating activities. The changes in the components of operating assets and liabilities during the six months ended July 4, 2025 and June 28, 2024 were as follows:</w:t>
      </w:r>
    </w:p>
    <w:p>
      <w:pPr>
        <w:pStyle w:val="TextBody"/>
        <w:bidi w:val="0"/>
        <w:jc w:val="left"/>
        <w:rPr/>
      </w:pPr>
      <w:r>
        <w:rPr/>
        <w:t> </w:t>
      </w:r>
    </w:p>
    <w:tbl>
      <w:tblPr>
        <w:tblW w:w="6449" w:type="dxa"/>
        <w:jc w:val="left"/>
        <w:tblInd w:w="0" w:type="dxa"/>
        <w:tblLayout w:type="fixed"/>
        <w:tblCellMar>
          <w:top w:w="28" w:type="dxa"/>
          <w:left w:w="28" w:type="dxa"/>
          <w:bottom w:w="28" w:type="dxa"/>
          <w:right w:w="28" w:type="dxa"/>
        </w:tblCellMar>
      </w:tblPr>
      <w:tblGrid>
        <w:gridCol w:w="3886"/>
        <w:gridCol w:w="146"/>
        <w:gridCol w:w="211"/>
        <w:gridCol w:w="736"/>
        <w:gridCol w:w="166"/>
        <w:gridCol w:w="146"/>
        <w:gridCol w:w="211"/>
        <w:gridCol w:w="736"/>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During the six months ended July 4, 2025, the decrease in operating assets and liabilities was $37 million, which was primarily driven by decreases in contract liabilities and increases in accounts payable. The Company’s operating assets and liabilities fluctuations are impacted by the mix of projects in backlog, seasonality, the timing of new awards and related payments for work performed and the contract billings to the customer as projects are completed. Operating assets and liabilities are also impacted at period end by the timing of accounts receivable collections and accounts payable payments for projects.</w:t>
      </w:r>
    </w:p>
    <w:p>
      <w:pPr>
        <w:pStyle w:val="TextBody"/>
        <w:bidi w:val="0"/>
        <w:jc w:val="left"/>
        <w:rPr/>
      </w:pPr>
      <w:r>
        <w:rPr/>
        <w:t> </w:t>
      </w:r>
    </w:p>
    <w:p>
      <w:pPr>
        <w:pStyle w:val="TextBody"/>
        <w:bidi w:val="0"/>
        <w:spacing w:before="0" w:after="120"/>
        <w:jc w:val="left"/>
        <w:rPr>
          <w:rFonts w:ascii="Times New Roman" w:hAnsi="Times New Roman"/>
          <w:i/>
          <w:color w:val="231F20"/>
          <w:sz w:val="20"/>
        </w:rPr>
      </w:pPr>
      <w:r>
        <w:rPr>
          <w:rFonts w:ascii="Times New Roman" w:hAnsi="Times New Roman"/>
          <w:i/>
          <w:color w:val="231F20"/>
          <w:sz w:val="20"/>
        </w:rPr>
        <w:t>Investing Activities</w:t>
      </w:r>
    </w:p>
    <w:p>
      <w:pPr>
        <w:pStyle w:val="TextBody"/>
        <w:bidi w:val="0"/>
        <w:jc w:val="left"/>
        <w:rPr>
          <w:rFonts w:ascii="Times New Roman" w:hAnsi="Times New Roman"/>
          <w:color w:val="231F20"/>
          <w:sz w:val="20"/>
        </w:rPr>
      </w:pPr>
      <w:r>
        <w:rPr>
          <w:rFonts w:ascii="Times New Roman" w:hAnsi="Times New Roman"/>
          <w:color w:val="231F20"/>
          <w:sz w:val="20"/>
        </w:rPr>
        <w:t>For the six months ended July 4, 2025, net cash provided by investing activities was $2 million, which was primarily driven by return of investment in unconsolidated joint ventures.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For the six months ended June 28, 2024, net cash used in investing activities was negligible, which was primarily driven by purchases of property, plant and equipment of $8 million and contributions to unconsolidated joint ventures of $4 million, offset by proceeds from the sale of assets of $11 million.</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Financing Activities</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six months ended July 4, 2025, net cash provided by financing activities was $27 million, which primarily consisted of net borrowings from credit and loan agreements of $28 million, partially offset by $1 million of other, net which is primarily comprised of debt issuance costs incurred for the ACF Credit Agreement and Ansley Loan Agreement entered into during the first quarter of 2025.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six months ended June 28, 2024, net cash provided by financing activities was $38 million, which primarily consisted of net borrowings from credit facilities of $40 million, partially offset by debt issuance costs incurred for the Credit Facility entered into during the second quarter of 2024.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Letters of Credit</w:t>
      </w:r>
    </w:p>
    <w:p>
      <w:pPr>
        <w:pStyle w:val="TextBody"/>
        <w:bidi w:val="0"/>
        <w:jc w:val="left"/>
        <w:rPr>
          <w:rFonts w:ascii="Times New Roman" w:hAnsi="Times New Roman"/>
          <w:color w:val="231F20"/>
          <w:sz w:val="20"/>
        </w:rPr>
      </w:pPr>
      <w:r>
        <w:rPr>
          <w:rFonts w:ascii="Times New Roman" w:hAnsi="Times New Roman"/>
          <w:color w:val="231F20"/>
          <w:sz w:val="20"/>
        </w:rPr>
        <w:t>We obtain standby letters of credit required by our insurance carriers. The Company did not have any letters of credit outstanding as of July 4, 2025 or January 3, 2025.</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Contractual Obligations</w:t>
      </w:r>
    </w:p>
    <w:p>
      <w:pPr>
        <w:pStyle w:val="TextBody"/>
        <w:bidi w:val="0"/>
        <w:jc w:val="left"/>
        <w:rPr>
          <w:rFonts w:ascii="Times New Roman" w:hAnsi="Times New Roman"/>
          <w:color w:val="231F20"/>
          <w:sz w:val="20"/>
        </w:rPr>
      </w:pPr>
      <w:r>
        <w:rPr>
          <w:rFonts w:ascii="Times New Roman" w:hAnsi="Times New Roman"/>
          <w:color w:val="231F20"/>
          <w:sz w:val="20"/>
        </w:rPr>
        <w:t>Contractual obligations of the Company consisted of liabilities associated with remaining lease payments for the remainder of the fiscal year ending January 2, 2026 through the fiscal years ending through January 3, 2030 of approximately $4 million, $6 million, $5 million, $5 million, $3 million, respectively, and approximately $3 million in the aggregate thereafter based on balances outstanding as of July 4,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As of July 4, 2025, we had a backlog of projects of $652 million with over half of those projects in strategic target markets aligned with our strategic plan.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tables present the Company's percentage of backlog by customer type, contract type and backlog recognized: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tbl>
      <w:tblPr>
        <w:tblW w:w="3973" w:type="dxa"/>
        <w:jc w:val="left"/>
        <w:tblInd w:w="0" w:type="dxa"/>
        <w:tblLayout w:type="fixed"/>
        <w:tblCellMar>
          <w:top w:w="28" w:type="dxa"/>
          <w:left w:w="28" w:type="dxa"/>
          <w:bottom w:w="28" w:type="dxa"/>
          <w:right w:w="28" w:type="dxa"/>
        </w:tblCellMar>
      </w:tblPr>
      <w:tblGrid>
        <w:gridCol w:w="2371"/>
        <w:gridCol w:w="146"/>
        <w:gridCol w:w="293"/>
        <w:gridCol w:w="847"/>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customer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3898" w:type="dxa"/>
        <w:jc w:val="left"/>
        <w:tblInd w:w="0" w:type="dxa"/>
        <w:tblLayout w:type="fixed"/>
        <w:tblCellMar>
          <w:top w:w="28" w:type="dxa"/>
          <w:left w:w="28" w:type="dxa"/>
          <w:bottom w:w="28" w:type="dxa"/>
          <w:right w:w="28" w:type="dxa"/>
        </w:tblCellMar>
      </w:tblPr>
      <w:tblGrid>
        <w:gridCol w:w="2296"/>
        <w:gridCol w:w="146"/>
        <w:gridCol w:w="293"/>
        <w:gridCol w:w="847"/>
        <w:gridCol w:w="31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contract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4333" w:type="dxa"/>
        <w:jc w:val="left"/>
        <w:tblInd w:w="0" w:type="dxa"/>
        <w:tblLayout w:type="fixed"/>
        <w:tblCellMar>
          <w:top w:w="28" w:type="dxa"/>
          <w:left w:w="28" w:type="dxa"/>
          <w:bottom w:w="28" w:type="dxa"/>
          <w:right w:w="28" w:type="dxa"/>
        </w:tblCellMar>
      </w:tblPr>
      <w:tblGrid>
        <w:gridCol w:w="2731"/>
        <w:gridCol w:w="146"/>
        <w:gridCol w:w="293"/>
        <w:gridCol w:w="847"/>
        <w:gridCol w:w="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backlog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24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 to 36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Beyond 36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condensed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critical accounting estimates are described in more detail in Item 7, Management’s Discussion and Analysis of Financial Condition and Results of Operations, of our Form 10-K. There have been no other significant changes in our critical accounting estimates from those reported in our Form 10-K and we believe that the related judgments and assessments have been consistently applied and produce financial information that fairly depicts the financial condition, results of operations, and cash flows for all periods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so long as we are an emerging growth company, we will,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comply with the auditor attestation requirements of Section 404(b) of the Sarbanes-Oxley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hold a nonbinding advisory stockholder vote on executive compensation pursuant to Section 14A(a)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seek stockholder approval of any golden parachute payments not previously approved pursuant to Section 14A(b)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exempt from any rule adopted by the Public Company Accounting Oversight Board, requiring mandatory audit firm rotation and identification of critical audit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disclosure obligations regarding executive compensation in our periodic reports and proxy statements,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obligations with respect to financial data, including presenting only two years of audited financial statements and only two years of selected financial data in the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qualify as an emerging growth company until the earliest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following the fifth anniversary of the date of our initial public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in which we have annual gross revenue of $1.235 billion or more,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have, during the previous three-year period, issued more than $1.0 billion in non-convertible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0" w:name="item_3_quantitative_and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 as we are a “smaller reporting company,” as defined in the Exchange 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Management, under the supervision and with the participation of the Chief Executive Officer and Interim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that evaluation, our Chief Executive Officer and Chief Financial Officer concluded that as of July 4, 2025, our disclosure controls and procedures were not effective due to the material weaknesses in internal control over financial reporting described below. We have in place and are executing a remediation plan to address the material weaknesses described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discussed in Item 9A of our Form 10-K, 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January 3, 2025 and December 29,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performed additional analyses and other procedures to ensure that our condensed consolidated financial statements were prepared in accordance with U.S. Generally Accepted Accounting Principles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Management’s Plan to Remediate the Identified Material Weaknesses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our current staff, which has changed over the last thirty-three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associated with estimate at completion (revenue), payroll, treasury, property, plant and equipment and leases.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engaged a third-party advisory firm to evaluate the design and operating effectiveness of internal control over financial reporting as part of our remediation plan. We continue to evaluate our controls and will conduct such testing that is necessary to conclude on the design and operating effectiveness of the controls. Material weaknesses cannot be considered fully remediated until the existing controls have been in place and operating for a sufficient period of time to enable management to test and to conclude on the operating effectiveness of the controls. Additional remediation may be necessary as we continue to monitor and evaluate the effectiveness of controls.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exception of the implementation and enhancement of controls in connection with our remediation activities described above, there were no changes to our internal control over financial reporting during the quarter ended July 4, 2025 that have materially affected, or that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with respect to this Part II, Item 1 can be found under Item 1., Financial Statements, Note 11 - Commitments and Contingencies, to the unaudited condensed consolidated financial statements included in Part I, Item 1 of this Form 10-Q.</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the risk factors disclosed in the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equity_secu"/>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quarter ended July 4, 2025,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46"/>
        <w:gridCol w:w="9300"/>
      </w:tblGrid>
      <w:tr>
        <w:trPr/>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5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1.htm">
              <w:r>
                <w:rPr>
                  <w:rStyle w:val="InternetLink"/>
                  <w:rFonts w:ascii="Times New Roman" w:hAnsi="Times New Roman"/>
                  <w:color w:val="0000FF"/>
                  <w:sz w:val="20"/>
                  <w:u w:val="single"/>
                </w:rPr>
                <w:t>Amendment No. 6 to Credit, Security and Guaranty Agreement, dated August 8, 2025, by and among Shimmick Construction Company, Inc., Rust Constructors Inc., The Leasing Corporation, Shimmick Corporation, the other guarantors party thereto, the agent thereunder, and the lenders time to time party thereto</w:t>
              </w:r>
            </w:hyperlink>
            <w:hyperlink w:anchor="shim-ex10_1.htm">
              <w:r>
                <w:rPr>
                  <w:rStyle w:val="InternetLink"/>
                  <w:rFonts w:ascii="Times New Roman" w:hAnsi="Times New Roman"/>
                  <w:color w:val="0000FF"/>
                  <w:sz w:val="20"/>
                </w:rPr>
                <w:t xml:space="preserve"> </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1951"/>
        <w:gridCol w:w="146"/>
        <w:gridCol w:w="406"/>
        <w:gridCol w:w="528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4"/>
        </w:rPr>
      </w:pPr>
      <w:bookmarkStart w:id="21" w:name="shim-ex10_1.htm"/>
      <w:bookmarkStart w:id="22" w:name="ksshimex10_1"/>
      <w:bookmarkEnd w:id="21"/>
      <w:bookmarkEnd w:id="22"/>
      <w:r>
        <w:rPr>
          <w:rFonts w:ascii="Times New Roman" w:hAnsi="Times New Roman"/>
          <w:i/>
          <w:color w:val="000000"/>
          <w:sz w:val="24"/>
        </w:rPr>
        <w:t>Execution Version</w:t>
      </w:r>
      <w:r>
        <w:br w:type="page"/>
      </w:r>
    </w:p>
    <w:p>
      <w:pPr>
        <w:pStyle w:val="TextBody"/>
        <w:bidi w:val="0"/>
        <w:spacing w:before="0" w:after="240"/>
        <w:jc w:val="center"/>
        <w:rPr>
          <w:rFonts w:ascii="Times New Roman" w:hAnsi="Times New Roman"/>
          <w:sz w:val="20"/>
        </w:rPr>
      </w:pPr>
      <w:r>
        <w:rPr>
          <w:rFonts w:ascii="Times New Roman" w:hAnsi="Times New Roman"/>
          <w:b/>
          <w:color w:val="000000"/>
          <w:sz w:val="22"/>
        </w:rPr>
        <w:t>AMENDMENT NO. 6 TO CREDIT, SECURITY AND GUARANTY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This AMENDMENT NO. 6 TO CREDIT, SECURITY AND GUARANTY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as of this 8th day of August, 2025 (the “</w:t>
      </w:r>
      <w:r>
        <w:rPr>
          <w:rFonts w:ascii="Times New Roman" w:hAnsi="Times New Roman"/>
          <w:b/>
          <w:color w:val="000000"/>
          <w:sz w:val="22"/>
        </w:rPr>
        <w:t>Sixth Amendment Effective Date</w:t>
      </w:r>
      <w:r>
        <w:rPr>
          <w:rFonts w:ascii="Times New Roman" w:hAnsi="Times New Roman"/>
          <w:color w:val="000000"/>
          <w:sz w:val="20"/>
        </w:rPr>
        <w:t>”</w:t>
      </w:r>
      <w:r>
        <w:rPr>
          <w:rFonts w:ascii="Times New Roman" w:hAnsi="Times New Roman"/>
          <w:color w:val="000000"/>
          <w:sz w:val="22"/>
        </w:rPr>
        <w:t xml:space="preserve">), by and among </w:t>
      </w:r>
      <w:r>
        <w:rPr>
          <w:rFonts w:ascii="Times New Roman" w:hAnsi="Times New Roman"/>
          <w:b/>
          <w:color w:val="000000"/>
          <w:sz w:val="22"/>
        </w:rPr>
        <w:t>SHIMMICK CONSTRUCTION COMPANY, INC.</w:t>
      </w:r>
      <w:r>
        <w:rPr>
          <w:rFonts w:ascii="Times New Roman" w:hAnsi="Times New Roman"/>
          <w:color w:val="000000"/>
          <w:sz w:val="22"/>
        </w:rPr>
        <w:t>, a California corporation (“</w:t>
      </w:r>
      <w:r>
        <w:rPr>
          <w:rFonts w:ascii="Times New Roman" w:hAnsi="Times New Roman"/>
          <w:b/>
          <w:color w:val="000000"/>
          <w:sz w:val="22"/>
        </w:rPr>
        <w:t>Shimmick</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RUST CONSTRUCTORS INC.</w:t>
      </w:r>
      <w:r>
        <w:rPr>
          <w:rFonts w:ascii="Times New Roman" w:hAnsi="Times New Roman"/>
          <w:color w:val="000000"/>
          <w:sz w:val="22"/>
        </w:rPr>
        <w:t xml:space="preserve">, a Delaware corporation, </w:t>
      </w:r>
      <w:r>
        <w:rPr>
          <w:rFonts w:ascii="Times New Roman" w:hAnsi="Times New Roman"/>
          <w:b/>
          <w:color w:val="000000"/>
          <w:sz w:val="22"/>
        </w:rPr>
        <w:t>THE LEASING CORPORATION</w:t>
      </w:r>
      <w:r>
        <w:rPr>
          <w:rFonts w:ascii="Times New Roman" w:hAnsi="Times New Roman"/>
          <w:color w:val="000000"/>
          <w:sz w:val="22"/>
        </w:rPr>
        <w:t xml:space="preserve">, a Nevada corporation, </w:t>
      </w:r>
      <w:r>
        <w:rPr>
          <w:rFonts w:ascii="Times New Roman" w:hAnsi="Times New Roman"/>
          <w:b/>
          <w:color w:val="000000"/>
          <w:sz w:val="22"/>
        </w:rPr>
        <w:t>AXIA ELECTRIC LLC</w:t>
      </w:r>
      <w:r>
        <w:rPr>
          <w:rFonts w:ascii="Times New Roman" w:hAnsi="Times New Roman"/>
          <w:color w:val="000000"/>
          <w:sz w:val="22"/>
        </w:rPr>
        <w:t>, a Delaware limited liability company (collectively, the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and each individually,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SHIMMICK CORPORATION</w:t>
      </w:r>
      <w:r>
        <w:rPr>
          <w:rFonts w:ascii="Times New Roman" w:hAnsi="Times New Roman"/>
          <w:color w:val="000000"/>
          <w:sz w:val="20"/>
        </w:rPr>
        <w:t xml:space="preserve"> </w:t>
      </w:r>
      <w:r>
        <w:rPr>
          <w:rFonts w:ascii="Times New Roman" w:hAnsi="Times New Roman"/>
          <w:color w:val="000000"/>
          <w:sz w:val="22"/>
        </w:rPr>
        <w:t>(f/k/a SCCI National Holdings, Inc.), a Delaware corporation (“</w:t>
      </w:r>
      <w:r>
        <w:rPr>
          <w:rFonts w:ascii="Times New Roman" w:hAnsi="Times New Roman"/>
          <w:b/>
          <w:color w:val="000000"/>
          <w:sz w:val="22"/>
        </w:rPr>
        <w:t>Holdings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ALTER DOMUS (US) LLC</w:t>
      </w:r>
      <w:r>
        <w:rPr>
          <w:rFonts w:ascii="Times New Roman" w:hAnsi="Times New Roman"/>
          <w:color w:val="000000"/>
          <w:sz w:val="22"/>
        </w:rPr>
        <w:t>, a Delaware limited liability company, as Agent, and the financial institutions or other entities parties hereto, each as a Lender.</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 Agent, Lenders, Borrowers and Holdings have entered into that certain Credit, Security and Guaranty Agreement, dated as of May 20, 2024, as amended by that certain Amendment No. 1 to Credit, Security and Guaranty Agreement, dated as of September 25, 2024, Amendment No. 2 to Credit, Security and Guaranty Agreement, dated as of January 30, 2025, Amendment No. 3 and Limited Waiver to Credit, Security and Guaranty Agreement, dated as of March 12, 2025, Amendment No. 4 to Credit, Security and Guaranty Agreement, dated as of March 31, 2025 and Amendment No. 5 to Credit Security and Guaranty Agreement, dated as of May 12, 2025, and as supplemented by that certain Joinder No. 1 to Credit, Security and Guaranty Agreement, dated as of July 31, 2025 (as amended, the “</w:t>
      </w:r>
      <w:r>
        <w:rPr>
          <w:rFonts w:ascii="Times New Roman" w:hAnsi="Times New Roman"/>
          <w:b/>
          <w:color w:val="000000"/>
          <w:sz w:val="22"/>
        </w:rPr>
        <w:t>Existing Credit Agreement</w:t>
      </w:r>
      <w:r>
        <w:rPr>
          <w:rFonts w:ascii="Times New Roman" w:hAnsi="Times New Roman"/>
          <w:color w:val="000000"/>
          <w:sz w:val="20"/>
        </w:rPr>
        <w:t xml:space="preserve">” </w:t>
      </w:r>
      <w:r>
        <w:rPr>
          <w:rFonts w:ascii="Times New Roman" w:hAnsi="Times New Roman"/>
          <w:color w:val="000000"/>
          <w:sz w:val="22"/>
        </w:rPr>
        <w:t>and as amended hereby and as it may be further amended, modified, supplemented and restated from time to time, the “</w:t>
      </w:r>
      <w:r>
        <w:rPr>
          <w:rFonts w:ascii="Times New Roman" w:hAnsi="Times New Roman"/>
          <w:b/>
          <w:color w:val="000000"/>
          <w:sz w:val="22"/>
        </w:rPr>
        <w:t>Credit Agreement</w:t>
      </w:r>
      <w:r>
        <w:rPr>
          <w:rFonts w:ascii="Times New Roman" w:hAnsi="Times New Roman"/>
          <w:color w:val="000000"/>
          <w:sz w:val="20"/>
        </w:rPr>
        <w:t>”</w:t>
      </w:r>
      <w:r>
        <w:rPr>
          <w:rFonts w:ascii="Times New Roman" w:hAnsi="Times New Roman"/>
          <w:color w:val="000000"/>
          <w:sz w:val="22"/>
        </w:rPr>
        <w:t>), pursuant to which the Lenders have agreed to make certain advances of money and to extend certain financial accommodations to Borrowers in the amounts and manner set forth in the Credit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Borrowers and Holdings have requested, and Agent and all Lenders have agreed, to amend certain provisions of the Existing Credit Agreement, in each case, in accordance with the terms and subject to the conditions set forth herein.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b/>
          <w:color w:val="000000"/>
          <w:sz w:val="22"/>
          <w:u w:val="single"/>
        </w:rPr>
        <w:t>Recitals</w:t>
      </w:r>
      <w:r>
        <w:rPr>
          <w:rFonts w:ascii="Times New Roman" w:hAnsi="Times New Roman"/>
          <w:color w:val="000000"/>
          <w:sz w:val="22"/>
        </w:rPr>
        <w:t>. This Agreement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b/>
          <w:color w:val="000000"/>
          <w:sz w:val="22"/>
          <w:u w:val="single"/>
        </w:rPr>
        <w:t>Amendments to Existing Credit Agreement</w:t>
      </w:r>
      <w:r>
        <w:rPr>
          <w:rFonts w:ascii="Times New Roman" w:hAnsi="Times New Roman"/>
          <w:color w:val="000000"/>
          <w:sz w:val="22"/>
        </w:rPr>
        <w:t xml:space="preserve">. Subject to the terms and conditions of this Amendment, including, without limitation, the satisfaction of the conditions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 xml:space="preserve">hereof, the Existing Credit Agreement is hereby amended as follows: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1.1 of the Existing Credit Agreement is hereby amended to add the following definition in the appropriate alphabetical order therein: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|US-DOCS\162108766.6||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Sixth Amendment</w:t>
      </w:r>
      <w:r>
        <w:rPr>
          <w:rFonts w:ascii="Times New Roman" w:hAnsi="Times New Roman"/>
          <w:color w:val="000000"/>
          <w:sz w:val="20"/>
        </w:rPr>
        <w:t xml:space="preserve">” </w:t>
      </w:r>
      <w:r>
        <w:rPr>
          <w:rFonts w:ascii="Times New Roman" w:hAnsi="Times New Roman"/>
          <w:color w:val="000000"/>
          <w:sz w:val="22"/>
        </w:rPr>
        <w:t>means that certain Amendment No. 6 to Credit, Security and Guaranty Agreement, dated as of August 8, 2025, by and among the Borrowers, Holdings, Agent and the Lenders.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1.1 of the Existing Credit Agreement is hereby amended by amending and restating the definition of “Financing Documents” in its entirety as follows:</w:t>
      </w:r>
    </w:p>
    <w:p>
      <w:pPr>
        <w:pStyle w:val="TextBody"/>
        <w:bidi w:val="0"/>
        <w:spacing w:before="0" w:after="240"/>
        <w:jc w:val="both"/>
        <w:rPr/>
      </w:pPr>
      <w:r>
        <w:rPr>
          <w:color w:val="000000"/>
        </w:rPr>
        <w:t>“</w:t>
      </w:r>
      <w:r>
        <w:rPr>
          <w:rFonts w:ascii="Times New Roman" w:hAnsi="Times New Roman"/>
          <w:b/>
          <w:color w:val="000000"/>
          <w:sz w:val="22"/>
        </w:rPr>
        <w:t>Financing Documents</w:t>
      </w:r>
      <w:r>
        <w:rPr>
          <w:rFonts w:ascii="Times New Roman" w:hAnsi="Times New Roman"/>
          <w:color w:val="000000"/>
          <w:sz w:val="20"/>
        </w:rPr>
        <w:t xml:space="preserve">” </w:t>
      </w:r>
      <w:r>
        <w:rPr>
          <w:rFonts w:ascii="Times New Roman" w:hAnsi="Times New Roman"/>
          <w:color w:val="000000"/>
          <w:sz w:val="22"/>
        </w:rPr>
        <w:t>means this Agreement, the First Amendment, the Second Amendment, the Third Amendment, the Fourth Amendment, the Fifth Amendment, the Sixth Amendment, each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6.1 of the Existing Credit Agreement is hereby amended by replacing the reference to “July 3, 2026” therein with “October 2,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7.2(g) of the Existing Credit agreement is hereby amended by replacing the reference to “July 3, 2026” therein with “October 2,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b/>
          <w:color w:val="000000"/>
          <w:sz w:val="22"/>
          <w:u w:val="single"/>
        </w:rPr>
        <w:t>Representations and Warranties; Reaffirmation of Security Interest; No Liens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Credit Party hereby confirms that as of the Sixth Amendment Effective Date, no Liens exist other than Permitted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b/>
          <w:color w:val="000000"/>
          <w:sz w:val="22"/>
          <w:u w:val="single"/>
        </w:rPr>
        <w:t>Conditions to Effectiveness</w:t>
      </w:r>
      <w:r>
        <w:rPr>
          <w:rFonts w:ascii="Times New Roman" w:hAnsi="Times New Roman"/>
          <w:b/>
          <w:color w:val="000000"/>
          <w:sz w:val="22"/>
        </w:rPr>
        <w:t xml:space="preserve">. </w:t>
      </w:r>
      <w:r>
        <w:rPr>
          <w:rFonts w:ascii="Times New Roman" w:hAnsi="Times New Roman"/>
          <w:color w:val="000000"/>
          <w:sz w:val="22"/>
        </w:rPr>
        <w:t>This Agreement shall become effective as of the date on which each of the following conditions has been satisfied, as determined by Agent and the Lenders in their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and the Lenders shall have received a copy of this Agreement, dated as of even date herewith, duly-executed by each Credit Party, Agent and the Lenders.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16"/>
        </w:rPr>
      </w:pPr>
      <w:r>
        <w:rPr>
          <w:rFonts w:ascii="Times New Roman" w:hAnsi="Times New Roman"/>
          <w:color w:val="000000"/>
          <w:sz w:val="16"/>
        </w:rPr>
        <w:t>|US-DOCS\162108766.6||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to and after giving effect to the agreements set forth herein, no Default or Event of Default shall exist under any of the Financing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Credit Parties shall have delivered such other documents, information, certificates, records, permits, and filings as the Agent and the Lenders may reasonably request;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Borrowers shall have paid the Agent’s outstanding Admin Fee (as defined in the Agent Fee Letter);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payment of all fees, expenses and other amounts due and payable under the Credit Agreement, including all reasonable and documented legal fees and expenses of Agent and Lenders.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b/>
          <w:color w:val="000000"/>
          <w:sz w:val="22"/>
          <w:u w:val="single"/>
        </w:rPr>
        <w:t>Costs and Fees</w:t>
      </w:r>
      <w:r>
        <w:rPr>
          <w:rFonts w:ascii="Times New Roman" w:hAnsi="Times New Roman"/>
          <w:color w:val="000000"/>
          <w:sz w:val="22"/>
        </w:rPr>
        <w:t xml:space="preserve">. Credit Parties shall be responsible for the payment of all reasonable, documented and invoiced out-of-pocket costs and fees of counsel and other advisors of the Lenders incurred in connection with the preparation, negotiation, execution and delivery of this Agreement and any related Financing Documents.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b/>
          <w:color w:val="000000"/>
          <w:sz w:val="22"/>
          <w:u w:val="single"/>
        </w:rPr>
        <w:t>Release</w:t>
      </w:r>
      <w:r>
        <w:rPr>
          <w:rFonts w:ascii="Times New Roman" w:hAnsi="Times New Roman"/>
          <w:b/>
          <w:color w:val="000000"/>
          <w:sz w:val="22"/>
        </w:rPr>
        <w: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 (collectively, “</w:t>
      </w:r>
      <w:r>
        <w:rPr>
          <w:rFonts w:ascii="Times New Roman" w:hAnsi="Times New Roman"/>
          <w:b/>
          <w:color w:val="000000"/>
          <w:sz w:val="22"/>
        </w:rPr>
        <w:t>Releasors</w:t>
      </w:r>
      <w:r>
        <w:rPr>
          <w:color w:val="000000"/>
        </w:rPr>
        <w:t>”</w:t>
      </w:r>
      <w:r>
        <w:rPr>
          <w:rFonts w:ascii="Times New Roman" w:hAnsi="Times New Roman"/>
          <w:color w:val="000000"/>
          <w:sz w:val="22"/>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hAnsi="Times New Roman"/>
          <w:b/>
          <w:color w:val="000000"/>
          <w:sz w:val="22"/>
        </w:rPr>
        <w:t>Claims</w:t>
      </w:r>
      <w:r>
        <w:rPr>
          <w:color w:val="000000"/>
        </w:rPr>
        <w:t>”</w:t>
      </w:r>
      <w:r>
        <w:rPr>
          <w:rFonts w:ascii="Times New Roman" w:hAnsi="Times New Roman"/>
          <w:color w:val="000000"/>
          <w:sz w:val="22"/>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hAnsi="Times New Roman"/>
          <w:b/>
          <w:color w:val="000000"/>
          <w:sz w:val="22"/>
        </w:rPr>
        <w:t>Releasees</w:t>
      </w:r>
      <w:r>
        <w:rPr>
          <w:color w:val="000000"/>
        </w:rPr>
        <w:t>”</w:t>
      </w:r>
      <w:r>
        <w:rPr>
          <w:rFonts w:ascii="Times New Roman" w:hAnsi="Times New Roman"/>
          <w:color w:val="000000"/>
          <w:sz w:val="22"/>
        </w:rPr>
        <w:t xml:space="preserve">), based in whole or in part on facts, whether or not now known that relate to, arise out of or otherwise are in connection with: (i) any or all of the Financing Documents, including this Agreement, the AECOM L/C (as defined in the Ares First Lien Guaranty)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6"/>
        </w:rPr>
      </w:pPr>
      <w:r>
        <w:rPr>
          <w:rFonts w:ascii="Times New Roman" w:hAnsi="Times New Roman"/>
          <w:color w:val="000000"/>
          <w:sz w:val="16"/>
        </w:rPr>
        <w:t>|US-DOCS\162108766.6||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Agreement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hAnsi="Times New Roman"/>
          <w:color w:val="000000"/>
          <w:sz w:val="22"/>
          <w:u w:val="single"/>
        </w:rPr>
        <w:t>Section 6(a)</w:t>
      </w:r>
      <w:r>
        <w:rPr>
          <w:color w:val="000000"/>
        </w:rPr>
        <w:t xml:space="preserve"> </w:t>
      </w:r>
      <w:r>
        <w:rPr>
          <w:rFonts w:ascii="Times New Roman" w:hAnsi="Times New Roman"/>
          <w:color w:val="000000"/>
          <w:sz w:val="22"/>
        </w:rPr>
        <w:t>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b/>
          <w:color w:val="000000"/>
          <w:sz w:val="22"/>
          <w:u w:val="single"/>
        </w:rPr>
        <w:t>No Waiver or Novation</w:t>
      </w:r>
      <w:r>
        <w:rPr>
          <w:rFonts w:ascii="Times New Roman" w:hAnsi="Times New Roman"/>
          <w:b/>
          <w:color w:val="000000"/>
          <w:sz w:val="22"/>
        </w:rPr>
        <w:t>.</w:t>
      </w:r>
      <w:r>
        <w:rPr>
          <w:color w:val="000000"/>
        </w:rPr>
        <w:t xml:space="preserve"> </w:t>
      </w:r>
      <w:r>
        <w:rPr>
          <w:rFonts w:ascii="Times New Roman" w:hAnsi="Times New Roman"/>
          <w:color w:val="000000"/>
          <w:sz w:val="22"/>
        </w:rPr>
        <w:t>The execution, delivery and effectiveness of this Agreement shall not, except as 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b/>
          <w:color w:val="000000"/>
          <w:sz w:val="22"/>
          <w:u w:val="single"/>
        </w:rPr>
        <w:t>Affirmation</w:t>
      </w:r>
      <w:r>
        <w:rPr>
          <w:rFonts w:ascii="Times New Roman" w:hAnsi="Times New Roman"/>
          <w:color w:val="000000"/>
          <w:sz w:val="22"/>
        </w:rPr>
        <w:t xml:space="preserve">.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6"/>
        </w:rPr>
      </w:pPr>
      <w:r>
        <w:rPr>
          <w:rFonts w:ascii="Times New Roman" w:hAnsi="Times New Roman"/>
          <w:color w:val="000000"/>
          <w:sz w:val="16"/>
        </w:rPr>
        <w:t>|US-DOCS\162108766.6||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Agent’s or any Lender’s part which might otherwise constitute or be construed as a waiver of or amendment to such terms, covenants and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Reference to the Effect on the Credit Agreement</w:t>
      </w:r>
      <w:r>
        <w:rPr>
          <w:rFonts w:ascii="Times New Roman" w:hAnsi="Times New Roman"/>
          <w:color w:val="000000"/>
          <w:sz w:val="22"/>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bookmarkStart w:id="23" w:name="docxtextref973"/>
      <w:bookmarkStart w:id="24" w:name="docxtextref974"/>
      <w:bookmarkEnd w:id="23"/>
      <w:bookmarkEnd w:id="2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WAIVER OF JURY TRIAL</w:t>
      </w:r>
      <w:r>
        <w:rPr>
          <w:rFonts w:ascii="Times New Roman" w:hAnsi="Times New Roman"/>
          <w:color w:val="000000"/>
          <w:sz w:val="22"/>
        </w:rPr>
        <w:t xml:space="preserve">. (i)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PROVIDED</w:t>
      </w:r>
      <w:r>
        <w:rPr>
          <w:color w:val="000000"/>
        </w:rPr>
        <w:t xml:space="preserve"> </w:t>
      </w:r>
      <w:r>
        <w:rPr>
          <w:rFonts w:ascii="Times New Roman" w:hAnsi="Times New Roman"/>
          <w:color w:val="000000"/>
          <w:sz w:val="22"/>
        </w:rPr>
        <w:t>THAT NOTHING CONTAINED IN THIS</w:t>
      </w:r>
      <w:r>
        <w:rPr>
          <w:caps/>
          <w:color w:val="000000"/>
        </w:rPr>
        <w:t xml:space="preserve"> </w:t>
      </w:r>
      <w:r>
        <w:rPr>
          <w:rFonts w:ascii="Times New Roman" w:hAnsi="Times New Roman"/>
          <w:caps/>
          <w:color w:val="000000"/>
          <w:sz w:val="22"/>
          <w:u w:val="single"/>
        </w:rPr>
        <w:t>Section 9(</w:t>
      </w:r>
      <w:r>
        <w:rPr>
          <w:rFonts w:ascii="Times New Roman" w:hAnsi="Times New Roman"/>
          <w:color w:val="000000"/>
          <w:sz w:val="22"/>
          <w:u w:val="single"/>
        </w:rPr>
        <w:t>d</w:t>
      </w:r>
      <w:r>
        <w:rPr>
          <w:rFonts w:ascii="Times New Roman" w:hAnsi="Times New Roman"/>
          <w:caps/>
          <w:color w:val="000000"/>
          <w:sz w:val="22"/>
          <w:u w:val="single"/>
        </w:rPr>
        <w:t>)</w:t>
      </w:r>
      <w:r>
        <w:rPr>
          <w:color w:val="000000"/>
        </w:rPr>
        <w:t xml:space="preserve"> </w:t>
      </w:r>
      <w:r>
        <w:rPr>
          <w:rFonts w:ascii="Times New Roman" w:hAnsi="Times New Roman"/>
          <w:color w:val="000000"/>
          <w:sz w:val="22"/>
        </w:rPr>
        <w:t xml:space="preserve">SHALL LIMIT THE CREDIT PARTIES’ INDEMNIFICATION OBLIGATIONS TO THE EXTENT SET FORTH IN </w:t>
      </w:r>
      <w:r>
        <w:rPr>
          <w:rFonts w:ascii="Times New Roman" w:hAnsi="Times New Roman"/>
          <w:caps/>
          <w:color w:val="000000"/>
          <w:sz w:val="22"/>
        </w:rPr>
        <w:t>SECTION 11.6</w:t>
      </w:r>
      <w:r>
        <w:rPr>
          <w:color w:val="000000"/>
        </w:rPr>
        <w:t xml:space="preserve"> </w:t>
      </w:r>
      <w:r>
        <w:rPr>
          <w:rFonts w:ascii="Times New Roman" w:hAnsi="Times New Roman"/>
          <w:color w:val="000000"/>
          <w:sz w:val="22"/>
        </w:rPr>
        <w:t xml:space="preserve">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 (iv) 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hAnsi="Times New Roman"/>
          <w:caps/>
          <w:color w:val="000000"/>
          <w:sz w:val="22"/>
          <w:u w:val="single"/>
        </w:rPr>
        <w:t>sECTION 9(</w:t>
      </w:r>
      <w:r>
        <w:rPr>
          <w:rFonts w:ascii="Times New Roman" w:hAnsi="Times New Roman"/>
          <w:color w:val="000000"/>
          <w:sz w:val="22"/>
          <w:u w:val="single"/>
        </w:rPr>
        <w:t>d</w:t>
      </w:r>
      <w:r>
        <w:rPr>
          <w:rFonts w:ascii="Times New Roman" w:hAnsi="Times New Roman"/>
          <w:caps/>
          <w:color w:val="000000"/>
          <w:sz w:val="22"/>
          <w:u w:val="single"/>
        </w:rPr>
        <w:t>)</w:t>
      </w:r>
      <w:r>
        <w:rPr>
          <w:rFonts w:ascii="Times New Roman" w:hAnsi="Times New Roman"/>
          <w:caps/>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Incorporation of Credit Agreement Provisions</w:t>
      </w:r>
      <w:r>
        <w:rPr>
          <w:rFonts w:ascii="Times New Roman" w:hAnsi="Times New Roman"/>
          <w:color w:val="000000"/>
          <w:sz w:val="22"/>
        </w:rPr>
        <w:t>. The provisions contained in Section 11.6 (</w:t>
      </w:r>
      <w:r>
        <w:rPr>
          <w:rFonts w:ascii="Times New Roman" w:hAnsi="Times New Roman"/>
          <w:i/>
          <w:color w:val="000000"/>
          <w:sz w:val="22"/>
        </w:rPr>
        <w:t>Indemnification</w:t>
      </w:r>
      <w:r>
        <w:rPr>
          <w:rFonts w:ascii="Times New Roman" w:hAnsi="Times New Roman"/>
          <w:color w:val="000000"/>
          <w:sz w:val="22"/>
        </w:rPr>
        <w:t>), Section 13.8(b) (</w:t>
      </w:r>
      <w:r>
        <w:rPr>
          <w:rFonts w:ascii="Times New Roman" w:hAnsi="Times New Roman"/>
          <w:i/>
          <w:color w:val="000000"/>
          <w:sz w:val="22"/>
        </w:rPr>
        <w:t>Submission to Jurisdiction</w:t>
      </w:r>
      <w:r>
        <w:rPr>
          <w:rFonts w:ascii="Times New Roman" w:hAnsi="Times New Roman"/>
          <w:color w:val="000000"/>
          <w:sz w:val="22"/>
        </w:rPr>
        <w:t>) and Section 13.19 (</w:t>
      </w:r>
      <w:r>
        <w:rPr>
          <w:rFonts w:ascii="Times New Roman" w:hAnsi="Times New Roman"/>
          <w:i/>
          <w:color w:val="000000"/>
          <w:sz w:val="22"/>
        </w:rPr>
        <w:t>Surety Rights</w:t>
      </w:r>
      <w:r>
        <w:rPr>
          <w:rFonts w:ascii="Times New Roman" w:hAnsi="Times New Roman"/>
          <w:color w:val="000000"/>
          <w:sz w:val="22"/>
        </w:rPr>
        <w:t>) of the Credit Agreement are incorporated herein by reference to the same extent as if reproduced herein in their entirety.</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16"/>
        </w:rPr>
      </w:pPr>
      <w:r>
        <w:rPr>
          <w:rFonts w:ascii="Times New Roman" w:hAnsi="Times New Roman"/>
          <w:color w:val="000000"/>
          <w:sz w:val="16"/>
        </w:rPr>
        <w:t>|US-DOCS\162108766.6||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Headings</w:t>
      </w:r>
      <w:r>
        <w:rPr>
          <w:rFonts w:ascii="Times New Roman" w:hAnsi="Times New Roman"/>
          <w:color w:val="000000"/>
          <w:sz w:val="22"/>
        </w:rPr>
        <w:t>. Headings and captions used in this Agreement (including the Exhibits, Schedules</w:t>
      </w:r>
      <w:r>
        <w:rPr>
          <w:color w:val="000000"/>
        </w:rPr>
        <w:t xml:space="preserve"> </w:t>
      </w:r>
      <w:r>
        <w:rPr>
          <w:rFonts w:ascii="Times New Roman" w:hAnsi="Times New Roman"/>
          <w:color w:val="000000"/>
          <w:sz w:val="22"/>
        </w:rPr>
        <w:t>and Annexes hereto, if any) are included for convenience of reference only and shall not be given any substantive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Counterparts; Integration</w:t>
      </w:r>
      <w:r>
        <w:rPr>
          <w:rFonts w:ascii="Times New Roman" w:hAnsi="Times New Roman"/>
          <w:color w:val="000000"/>
          <w:sz w:val="22"/>
        </w:rPr>
        <w:t>. This Agreement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color w:val="00000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Time of the Essence</w:t>
      </w:r>
      <w:r>
        <w:rPr>
          <w:rFonts w:ascii="Times New Roman" w:hAnsi="Times New Roman"/>
          <w:color w:val="000000"/>
          <w:sz w:val="22"/>
        </w:rPr>
        <w:t>. Time is of the essence in Borrower’s and each other Credit Party’s performance under this Agreement and all other Financing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Successors/Assigns</w:t>
      </w:r>
      <w:r>
        <w:rPr>
          <w:rFonts w:ascii="Times New Roman" w:hAnsi="Times New Roman"/>
          <w:color w:val="000000"/>
          <w:sz w:val="22"/>
        </w:rPr>
        <w:t>. This Agreement shall be binding upon and inure to the benefit of Credit Parties and Agent and each Lender and their respective successors and permitted assigns.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Agent</w:t>
      </w:r>
      <w:r>
        <w:rPr>
          <w:rFonts w:ascii="Times New Roman" w:hAnsi="Times New Roman"/>
          <w:color w:val="000000"/>
          <w:sz w:val="22"/>
        </w:rPr>
        <w:t>. Each of the undersigned Lenders, by their execution of this Agreement, directs the Agent to execute this Agreement. In doing so, the Agent shall be entitled to all rights, benefits and protections set forth in the Credit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[SIGNATURES APPEAR ON FOLLOWING PAGES]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color w:val="000000"/>
          <w:sz w:val="16"/>
        </w:rPr>
      </w:pPr>
      <w:r>
        <w:rPr>
          <w:rFonts w:ascii="Times New Roman" w:hAnsi="Times New Roman"/>
          <w:color w:val="000000"/>
          <w:sz w:val="16"/>
        </w:rPr>
        <w:t>|US-DOCS\162108766.6||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intending to be legally bound, each of the parties have caused this Agreement to be executed the day and year first above mentioned.</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AGENT: ALTER DOMUS (US) LLC,</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as Agent</w:t>
        <w:br/>
      </w:r>
      <w:r>
        <w:rPr>
          <w:rFonts w:ascii="Times New Roman" w:hAnsi="Times New Roman"/>
          <w:color w:val="000000"/>
          <w:sz w:val="20"/>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 ___________________________________</w:t>
        <w:br/>
        <w:t xml:space="preserve">Name: </w:t>
        <w:br/>
        <w:t>Title:</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Amendment No. 6 to Credit, Security and Guaranty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LENDERS: AECOM,</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as Lender</w:t>
        <w:br/>
      </w:r>
      <w:r>
        <w:rPr>
          <w:rFonts w:ascii="Times New Roman" w:hAnsi="Times New Roman"/>
          <w:color w:val="000000"/>
          <w:sz w:val="20"/>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__________________________________</w:t>
        <w:br/>
        <w:t xml:space="preserve">Name: </w:t>
        <w:br/>
        <w:t xml:space="preserve">Title: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br/>
        <w:t>BERKSHIRE HATHAWAY SPECIALTY INSURANCE COMPANY</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as Lender</w:t>
        <w:br/>
      </w:r>
      <w:r>
        <w:rPr>
          <w:rFonts w:ascii="Times New Roman" w:hAnsi="Times New Roman"/>
          <w:color w:val="000000"/>
          <w:sz w:val="20"/>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__________________________________</w:t>
        <w:br/>
        <w:t xml:space="preserve">Name: </w:t>
        <w:br/>
        <w:t xml:space="preserve">Title: </w:t>
      </w:r>
    </w:p>
    <w:p>
      <w:pPr>
        <w:pStyle w:val="TextBody"/>
        <w:bidi w:val="0"/>
        <w:spacing w:before="0" w:after="24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Amendment No. 6 to Credit, Security and Guaranty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BORROWERS: SHIMMICK CONSTRUCTION COMPANY, INC.</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__________________________________</w:t>
        <w:br/>
        <w:t xml:space="preserve">Name: </w:t>
        <w:br/>
        <w:t xml:space="preserve">Title: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RUST CONSTRUCTORS INC.</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__________________________________</w:t>
        <w:br/>
        <w:t xml:space="preserve">Name: </w:t>
        <w:br/>
        <w:t xml:space="preserve">Title: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THE LEASING CORPORATION</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__________________________________</w:t>
        <w:br/>
        <w:t xml:space="preserve">Name: </w:t>
        <w:br/>
        <w:t xml:space="preserve">Title: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AXIA ELECTRIC LLC</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__________________________________</w:t>
        <w:br/>
        <w:t xml:space="preserve">Name: </w:t>
        <w:br/>
        <w:t xml:space="preserve">Title: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GUARANTORS: SHIMMICK CORPORATION</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__________________________________</w:t>
        <w:br/>
        <w:t xml:space="preserve">Name: </w:t>
        <w:br/>
        <w:t xml:space="preserve">Title: </w:t>
      </w:r>
    </w:p>
    <w:p>
      <w:pPr>
        <w:pStyle w:val="TextBody"/>
        <w:bidi w:val="0"/>
        <w:jc w:val="center"/>
        <w:rPr>
          <w:rFonts w:ascii="Times New Roman" w:hAnsi="Times New Roman"/>
          <w:color w:val="000000"/>
          <w:sz w:val="16"/>
        </w:rPr>
      </w:pPr>
      <w:r>
        <w:rPr>
          <w:rFonts w:ascii="Times New Roman" w:hAnsi="Times New Roman"/>
          <w:color w:val="000000"/>
          <w:sz w:val="16"/>
        </w:rPr>
        <w:t>[Signature Page to Amendment No. 6 to Credit, Security and Guaranty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him-ex31_1.htm"/>
      <w:bookmarkStart w:id="26" w:name="ksshimex31_1"/>
      <w:bookmarkEnd w:id="25"/>
      <w:bookmarkEnd w:id="26"/>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Ural Yal,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951"/>
        <w:gridCol w:w="109"/>
        <w:gridCol w:w="40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him-ex31_2.htm"/>
      <w:bookmarkStart w:id="28" w:name="ksshimex31_2"/>
      <w:bookmarkEnd w:id="27"/>
      <w:bookmarkEnd w:id="28"/>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W. Yoder,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1951"/>
        <w:gridCol w:w="109"/>
        <w:gridCol w:w="406"/>
        <w:gridCol w:w="528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shim-ex32_1.htm"/>
      <w:bookmarkStart w:id="30" w:name="ksshimex32_1"/>
      <w:bookmarkEnd w:id="29"/>
      <w:bookmarkEnd w:id="3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July 4,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951"/>
        <w:gridCol w:w="109"/>
        <w:gridCol w:w="40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shim-ex32_2.htm"/>
      <w:bookmarkStart w:id="32" w:name="ksshimex32_2"/>
      <w:bookmarkEnd w:id="31"/>
      <w:bookmarkEnd w:id="3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July 4,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1951"/>
        <w:gridCol w:w="109"/>
        <w:gridCol w:w="406"/>
        <w:gridCol w:w="528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23950</Words>
  <Characters>130434</Characters>
  <CharactersWithSpaces>155513</CharactersWithSpaces>
  <Paragraphs>6827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